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1F7A9E" w14:textId="1C2CB34C" w:rsidR="00AE1473" w:rsidRPr="00801407" w:rsidRDefault="0010799A">
      <w:pPr>
        <w:spacing w:line="240" w:lineRule="auto"/>
        <w:ind w:right="-376"/>
        <w:jc w:val="center"/>
        <w:rPr>
          <w:rFonts w:ascii="Verdana" w:eastAsia="Verdana" w:hAnsi="Verdana" w:cs="Verdana"/>
          <w:b/>
          <w:sz w:val="20"/>
          <w:szCs w:val="20"/>
        </w:rPr>
      </w:pPr>
      <w:r w:rsidRPr="00801407">
        <w:rPr>
          <w:rFonts w:ascii="Verdana" w:eastAsia="Verdana" w:hAnsi="Verdana" w:cs="Verdana"/>
          <w:b/>
          <w:sz w:val="20"/>
          <w:szCs w:val="20"/>
        </w:rPr>
        <w:t xml:space="preserve">LA MINISTRA DE CIENCIA, TECNOLOGÍA E INNOVACIÓN </w:t>
      </w:r>
    </w:p>
    <w:p w14:paraId="3A59C272" w14:textId="38F14B57" w:rsidR="00AE1473" w:rsidRPr="00801407" w:rsidRDefault="00C15CC1">
      <w:pPr>
        <w:spacing w:after="0" w:line="240" w:lineRule="auto"/>
        <w:ind w:right="-376"/>
        <w:jc w:val="center"/>
        <w:rPr>
          <w:rFonts w:ascii="Verdana" w:eastAsia="Verdana" w:hAnsi="Verdana" w:cs="Verdana"/>
          <w:color w:val="000000" w:themeColor="text1"/>
          <w:sz w:val="20"/>
          <w:szCs w:val="20"/>
        </w:rPr>
      </w:pPr>
      <w:r w:rsidRPr="00801407">
        <w:rPr>
          <w:rFonts w:ascii="Verdana" w:eastAsia="Verdana" w:hAnsi="Verdana" w:cs="Verdana"/>
          <w:sz w:val="20"/>
          <w:szCs w:val="20"/>
        </w:rPr>
        <w:t xml:space="preserve">En uso de sus atribuciones legales, </w:t>
      </w:r>
      <w:r w:rsidRPr="00801407">
        <w:rPr>
          <w:rFonts w:ascii="Verdana" w:eastAsia="Verdana" w:hAnsi="Verdana" w:cs="Verdana"/>
          <w:color w:val="000000" w:themeColor="text1"/>
          <w:sz w:val="20"/>
          <w:szCs w:val="20"/>
        </w:rPr>
        <w:t xml:space="preserve">en especial las establecidas en </w:t>
      </w:r>
      <w:r w:rsidR="0010799A" w:rsidRPr="00801407">
        <w:rPr>
          <w:rFonts w:ascii="Verdana" w:eastAsia="Verdana" w:hAnsi="Verdana" w:cs="Verdana"/>
          <w:color w:val="000000" w:themeColor="text1"/>
          <w:sz w:val="20"/>
          <w:szCs w:val="20"/>
        </w:rPr>
        <w:t xml:space="preserve">las Leyes 489 de 1998, 2162 de 2021, 2085 de 2021, </w:t>
      </w:r>
      <w:r w:rsidRPr="00801407">
        <w:rPr>
          <w:rFonts w:ascii="Verdana" w:eastAsia="Verdana" w:hAnsi="Verdana" w:cs="Verdana"/>
          <w:color w:val="000000" w:themeColor="text1"/>
          <w:sz w:val="20"/>
          <w:szCs w:val="20"/>
        </w:rPr>
        <w:t>el Decreto</w:t>
      </w:r>
      <w:r w:rsidR="00860A59" w:rsidRPr="00801407">
        <w:rPr>
          <w:rFonts w:ascii="Verdana" w:eastAsia="Verdana" w:hAnsi="Verdana" w:cs="Verdana"/>
          <w:color w:val="000000" w:themeColor="text1"/>
          <w:sz w:val="20"/>
          <w:szCs w:val="20"/>
        </w:rPr>
        <w:t xml:space="preserve"> 1449 de 2022</w:t>
      </w:r>
      <w:r w:rsidR="0010799A" w:rsidRPr="00801407">
        <w:rPr>
          <w:rFonts w:ascii="Verdana" w:eastAsia="Verdana" w:hAnsi="Verdana" w:cs="Verdana"/>
          <w:color w:val="000000" w:themeColor="text1"/>
          <w:sz w:val="20"/>
          <w:szCs w:val="20"/>
        </w:rPr>
        <w:t xml:space="preserve"> </w:t>
      </w:r>
      <w:r w:rsidRPr="00801407">
        <w:rPr>
          <w:rFonts w:ascii="Verdana" w:eastAsia="Verdana" w:hAnsi="Verdana" w:cs="Verdana"/>
          <w:color w:val="000000" w:themeColor="text1"/>
          <w:sz w:val="20"/>
          <w:szCs w:val="20"/>
        </w:rPr>
        <w:t xml:space="preserve">y en atención a los siguientes, </w:t>
      </w:r>
    </w:p>
    <w:p w14:paraId="4700EEBD" w14:textId="77777777" w:rsidR="0010799A" w:rsidRPr="00801407" w:rsidRDefault="0010799A" w:rsidP="0010799A">
      <w:pPr>
        <w:pStyle w:val="Sinespaciado"/>
        <w:rPr>
          <w:color w:val="000000" w:themeColor="text1"/>
          <w:sz w:val="20"/>
          <w:szCs w:val="20"/>
        </w:rPr>
      </w:pPr>
    </w:p>
    <w:p w14:paraId="369451C6" w14:textId="12439D94" w:rsidR="00AE1473" w:rsidRPr="00801407" w:rsidRDefault="00C15CC1">
      <w:pPr>
        <w:spacing w:line="240" w:lineRule="auto"/>
        <w:ind w:right="-376"/>
        <w:jc w:val="center"/>
        <w:rPr>
          <w:rFonts w:ascii="Verdana" w:eastAsia="Verdana" w:hAnsi="Verdana" w:cs="Verdana"/>
          <w:b/>
          <w:color w:val="000000" w:themeColor="text1"/>
          <w:sz w:val="20"/>
          <w:szCs w:val="20"/>
        </w:rPr>
      </w:pPr>
      <w:r w:rsidRPr="00801407">
        <w:rPr>
          <w:rFonts w:ascii="Verdana" w:eastAsia="Verdana" w:hAnsi="Verdana" w:cs="Verdana"/>
          <w:b/>
          <w:color w:val="000000" w:themeColor="text1"/>
          <w:sz w:val="20"/>
          <w:szCs w:val="20"/>
        </w:rPr>
        <w:t>CONSIDERANDOS,</w:t>
      </w:r>
    </w:p>
    <w:p w14:paraId="0F9EA3A4" w14:textId="75E21BBF" w:rsidR="00AE1473" w:rsidRPr="00801407" w:rsidRDefault="00C15CC1">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 xml:space="preserve">Que </w:t>
      </w:r>
      <w:r w:rsidR="003227CB" w:rsidRPr="00801407">
        <w:rPr>
          <w:rFonts w:ascii="Verdana" w:eastAsia="Verdana" w:hAnsi="Verdana" w:cs="Verdana"/>
          <w:color w:val="000000" w:themeColor="text1"/>
          <w:sz w:val="20"/>
          <w:szCs w:val="20"/>
        </w:rPr>
        <w:t xml:space="preserve">el artículo 2 de la Ley 2085 de 2021 </w:t>
      </w:r>
      <w:r w:rsidR="003227CB" w:rsidRPr="00801407">
        <w:rPr>
          <w:rFonts w:ascii="Verdana" w:eastAsia="Verdana" w:hAnsi="Verdana" w:cs="Verdana"/>
          <w:i/>
          <w:iCs/>
          <w:color w:val="000000" w:themeColor="text1"/>
          <w:sz w:val="20"/>
          <w:szCs w:val="20"/>
        </w:rPr>
        <w:t>“Por medio de la cual se adopta la figura de la depuración normativa, se decide la pérdida de vigencia y se derogan expresamente normas de rango legal”</w:t>
      </w:r>
      <w:r w:rsidR="003227CB" w:rsidRPr="00801407">
        <w:rPr>
          <w:rFonts w:ascii="Verdana" w:eastAsia="Verdana" w:hAnsi="Verdana" w:cs="Verdana"/>
          <w:color w:val="000000" w:themeColor="text1"/>
          <w:sz w:val="20"/>
          <w:szCs w:val="20"/>
        </w:rPr>
        <w:t>, define la depuración normativa como</w:t>
      </w:r>
      <w:r w:rsidR="0066162A" w:rsidRPr="00801407">
        <w:rPr>
          <w:rFonts w:ascii="Verdana" w:eastAsia="Verdana" w:hAnsi="Verdana" w:cs="Verdana"/>
          <w:color w:val="000000" w:themeColor="text1"/>
          <w:sz w:val="20"/>
          <w:szCs w:val="20"/>
        </w:rPr>
        <w:t xml:space="preserve"> un</w:t>
      </w:r>
      <w:r w:rsidR="003227CB" w:rsidRPr="00801407">
        <w:rPr>
          <w:rFonts w:ascii="Verdana" w:eastAsia="Verdana" w:hAnsi="Verdana" w:cs="Verdana"/>
          <w:color w:val="000000" w:themeColor="text1"/>
          <w:sz w:val="20"/>
          <w:szCs w:val="20"/>
        </w:rPr>
        <w:t xml:space="preserve"> “</w:t>
      </w:r>
      <w:r w:rsidR="003227CB" w:rsidRPr="00801407">
        <w:rPr>
          <w:rFonts w:ascii="Verdana" w:eastAsia="Verdana" w:hAnsi="Verdana" w:cs="Verdana"/>
          <w:i/>
          <w:iCs/>
          <w:color w:val="000000" w:themeColor="text1"/>
          <w:sz w:val="20"/>
          <w:szCs w:val="20"/>
        </w:rPr>
        <w:t xml:space="preserve">Instrumento que permitirá decidir la pérdida de vigencia y derogación de grupos de cuerpos normativos de conformidad con los criterios de obsolescencia, contravención al régimen constitucional actual, derogatoria orgánica, cumplimiento del objeto de la norma, vigencia temporal y no adopción como legislación permanente”. </w:t>
      </w:r>
    </w:p>
    <w:p w14:paraId="2556BEBB" w14:textId="77777777" w:rsidR="003227CB" w:rsidRPr="00801407" w:rsidRDefault="003227CB">
      <w:pPr>
        <w:tabs>
          <w:tab w:val="left" w:pos="9214"/>
        </w:tabs>
        <w:spacing w:after="0" w:line="240" w:lineRule="auto"/>
        <w:ind w:right="49"/>
        <w:jc w:val="both"/>
        <w:rPr>
          <w:rFonts w:ascii="Verdana" w:eastAsia="Verdana" w:hAnsi="Verdana" w:cs="Verdana"/>
          <w:color w:val="000000" w:themeColor="text1"/>
          <w:sz w:val="20"/>
          <w:szCs w:val="20"/>
        </w:rPr>
      </w:pPr>
    </w:p>
    <w:p w14:paraId="2739FE34" w14:textId="22D4B7BD" w:rsidR="008E56E9" w:rsidRPr="00801407" w:rsidRDefault="008E56E9" w:rsidP="0057105D">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 xml:space="preserve">Que </w:t>
      </w:r>
      <w:r w:rsidR="005D7C8F" w:rsidRPr="00801407">
        <w:rPr>
          <w:rFonts w:ascii="Verdana" w:eastAsia="Verdana" w:hAnsi="Verdana" w:cs="Verdana"/>
          <w:color w:val="000000" w:themeColor="text1"/>
          <w:sz w:val="20"/>
          <w:szCs w:val="20"/>
        </w:rPr>
        <w:t>la citada disposición normativa</w:t>
      </w:r>
      <w:r w:rsidR="00A62DF9" w:rsidRPr="00801407">
        <w:rPr>
          <w:rFonts w:ascii="Verdana" w:eastAsia="Verdana" w:hAnsi="Verdana" w:cs="Verdana"/>
          <w:color w:val="000000" w:themeColor="text1"/>
          <w:sz w:val="20"/>
          <w:szCs w:val="20"/>
        </w:rPr>
        <w:t xml:space="preserve"> establece </w:t>
      </w:r>
      <w:r w:rsidR="00990EBE" w:rsidRPr="00801407">
        <w:rPr>
          <w:rFonts w:ascii="Verdana" w:eastAsia="Verdana" w:hAnsi="Verdana" w:cs="Verdana"/>
          <w:color w:val="000000" w:themeColor="text1"/>
          <w:sz w:val="20"/>
          <w:szCs w:val="20"/>
        </w:rPr>
        <w:t xml:space="preserve">otras </w:t>
      </w:r>
      <w:r w:rsidR="00A62DF9" w:rsidRPr="00801407">
        <w:rPr>
          <w:rFonts w:ascii="Verdana" w:eastAsia="Verdana" w:hAnsi="Verdana" w:cs="Verdana"/>
          <w:color w:val="000000" w:themeColor="text1"/>
          <w:sz w:val="20"/>
          <w:szCs w:val="20"/>
        </w:rPr>
        <w:t xml:space="preserve">definiciones </w:t>
      </w:r>
      <w:r w:rsidR="00990EBE" w:rsidRPr="00801407">
        <w:rPr>
          <w:rFonts w:ascii="Verdana" w:eastAsia="Verdana" w:hAnsi="Verdana" w:cs="Verdana"/>
          <w:color w:val="000000" w:themeColor="text1"/>
          <w:sz w:val="20"/>
          <w:szCs w:val="20"/>
        </w:rPr>
        <w:t xml:space="preserve">tales como </w:t>
      </w:r>
      <w:r w:rsidR="0057105D" w:rsidRPr="00801407">
        <w:rPr>
          <w:rFonts w:ascii="Verdana" w:eastAsia="Verdana" w:hAnsi="Verdana" w:cs="Verdana"/>
          <w:color w:val="000000" w:themeColor="text1"/>
          <w:sz w:val="20"/>
          <w:szCs w:val="20"/>
        </w:rPr>
        <w:t xml:space="preserve">obsolescencia, contravención al régimen constitucional actual, derogatoria orgánica, cumplimiento del objeto de la norma, vigencia temporal y no adopción como legislación permanente, </w:t>
      </w:r>
      <w:r w:rsidRPr="00801407">
        <w:rPr>
          <w:rFonts w:ascii="Verdana" w:eastAsia="Verdana" w:hAnsi="Verdana" w:cs="Verdana"/>
          <w:color w:val="000000" w:themeColor="text1"/>
          <w:sz w:val="20"/>
          <w:szCs w:val="20"/>
        </w:rPr>
        <w:t xml:space="preserve">que permiten </w:t>
      </w:r>
      <w:r w:rsidR="0057105D" w:rsidRPr="00801407">
        <w:rPr>
          <w:rFonts w:ascii="Verdana" w:eastAsia="Verdana" w:hAnsi="Verdana" w:cs="Verdana"/>
          <w:color w:val="000000" w:themeColor="text1"/>
          <w:sz w:val="20"/>
          <w:szCs w:val="20"/>
        </w:rPr>
        <w:t xml:space="preserve">decidir </w:t>
      </w:r>
      <w:r w:rsidR="00990EBE" w:rsidRPr="00801407">
        <w:rPr>
          <w:rFonts w:ascii="Verdana" w:eastAsia="Verdana" w:hAnsi="Verdana" w:cs="Verdana"/>
          <w:color w:val="000000" w:themeColor="text1"/>
          <w:sz w:val="20"/>
          <w:szCs w:val="20"/>
        </w:rPr>
        <w:t xml:space="preserve">sobre </w:t>
      </w:r>
      <w:r w:rsidR="0057105D" w:rsidRPr="00801407">
        <w:rPr>
          <w:rFonts w:ascii="Verdana" w:eastAsia="Verdana" w:hAnsi="Verdana" w:cs="Verdana"/>
          <w:color w:val="000000" w:themeColor="text1"/>
          <w:sz w:val="20"/>
          <w:szCs w:val="20"/>
        </w:rPr>
        <w:t xml:space="preserve">la pérdida de vigencia integral de un grupo de cuerpos normativos de carácter general y abstracto de rango legal, afectados por diversos fenómenos jurídicos de pérdida de vigencia, y derogar, expresa e integralmente, otro grupo de cuerpos normativos, de carácter general y abstracto de rango legal, </w:t>
      </w:r>
      <w:r w:rsidR="00990EBE" w:rsidRPr="00801407">
        <w:rPr>
          <w:rFonts w:ascii="Verdana" w:eastAsia="Verdana" w:hAnsi="Verdana" w:cs="Verdana"/>
          <w:color w:val="000000" w:themeColor="text1"/>
          <w:sz w:val="20"/>
          <w:szCs w:val="20"/>
        </w:rPr>
        <w:t xml:space="preserve">para </w:t>
      </w:r>
      <w:r w:rsidR="0057105D" w:rsidRPr="00801407">
        <w:rPr>
          <w:rFonts w:ascii="Verdana" w:eastAsia="Verdana" w:hAnsi="Verdana" w:cs="Verdana"/>
          <w:color w:val="000000" w:themeColor="text1"/>
          <w:sz w:val="20"/>
          <w:szCs w:val="20"/>
        </w:rPr>
        <w:t>fomentar la cultura de la legalidad y fortalecer el principio</w:t>
      </w:r>
      <w:r w:rsidR="005D7C8F" w:rsidRPr="00801407">
        <w:rPr>
          <w:rFonts w:ascii="Verdana" w:eastAsia="Verdana" w:hAnsi="Verdana" w:cs="Verdana"/>
          <w:color w:val="000000" w:themeColor="text1"/>
          <w:sz w:val="20"/>
          <w:szCs w:val="20"/>
        </w:rPr>
        <w:t xml:space="preserve"> </w:t>
      </w:r>
      <w:r w:rsidR="0057105D" w:rsidRPr="00801407">
        <w:rPr>
          <w:rFonts w:ascii="Verdana" w:eastAsia="Verdana" w:hAnsi="Verdana" w:cs="Verdana"/>
          <w:color w:val="000000" w:themeColor="text1"/>
          <w:sz w:val="20"/>
          <w:szCs w:val="20"/>
        </w:rPr>
        <w:t>constitucional de seguridad jurídica</w:t>
      </w:r>
      <w:r w:rsidR="005D7C8F" w:rsidRPr="00801407">
        <w:rPr>
          <w:rFonts w:ascii="Verdana" w:eastAsia="Verdana" w:hAnsi="Verdana" w:cs="Verdana"/>
          <w:color w:val="000000" w:themeColor="text1"/>
          <w:sz w:val="20"/>
          <w:szCs w:val="20"/>
        </w:rPr>
        <w:t>.</w:t>
      </w:r>
    </w:p>
    <w:p w14:paraId="63510292" w14:textId="77777777" w:rsidR="000570B4" w:rsidRPr="00801407" w:rsidRDefault="000570B4" w:rsidP="0057105D">
      <w:pPr>
        <w:tabs>
          <w:tab w:val="left" w:pos="9214"/>
        </w:tabs>
        <w:spacing w:after="0" w:line="240" w:lineRule="auto"/>
        <w:ind w:right="49"/>
        <w:jc w:val="both"/>
        <w:rPr>
          <w:rFonts w:ascii="Verdana" w:eastAsia="Verdana" w:hAnsi="Verdana" w:cs="Verdana"/>
          <w:color w:val="000000" w:themeColor="text1"/>
          <w:sz w:val="20"/>
          <w:szCs w:val="20"/>
        </w:rPr>
      </w:pPr>
    </w:p>
    <w:p w14:paraId="265151AA" w14:textId="0EF61AFB" w:rsidR="000570B4" w:rsidRPr="00801407" w:rsidRDefault="000570B4" w:rsidP="000570B4">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Que para los efectos de la presente resolución</w:t>
      </w:r>
      <w:r w:rsidR="008119E7" w:rsidRPr="00801407">
        <w:rPr>
          <w:rFonts w:ascii="Verdana" w:eastAsia="Verdana" w:hAnsi="Verdana" w:cs="Verdana"/>
          <w:color w:val="000000" w:themeColor="text1"/>
          <w:sz w:val="20"/>
          <w:szCs w:val="20"/>
        </w:rPr>
        <w:t>,</w:t>
      </w:r>
      <w:r w:rsidRPr="00801407">
        <w:rPr>
          <w:rFonts w:ascii="Verdana" w:eastAsia="Verdana" w:hAnsi="Verdana" w:cs="Verdana"/>
          <w:color w:val="000000" w:themeColor="text1"/>
          <w:sz w:val="20"/>
          <w:szCs w:val="20"/>
        </w:rPr>
        <w:t xml:space="preserve"> </w:t>
      </w:r>
      <w:r w:rsidR="00BC4400" w:rsidRPr="00801407">
        <w:rPr>
          <w:rFonts w:ascii="Verdana" w:eastAsia="Verdana" w:hAnsi="Verdana" w:cs="Verdana"/>
          <w:color w:val="000000" w:themeColor="text1"/>
          <w:sz w:val="20"/>
          <w:szCs w:val="20"/>
        </w:rPr>
        <w:t xml:space="preserve">la </w:t>
      </w:r>
      <w:r w:rsidR="00CC3795" w:rsidRPr="00801407">
        <w:rPr>
          <w:rFonts w:ascii="Verdana" w:eastAsia="Verdana" w:hAnsi="Verdana" w:cs="Verdana"/>
          <w:color w:val="000000" w:themeColor="text1"/>
          <w:sz w:val="20"/>
          <w:szCs w:val="20"/>
        </w:rPr>
        <w:t>derogatoria orgánica</w:t>
      </w:r>
      <w:r w:rsidR="00BC4400" w:rsidRPr="00801407">
        <w:rPr>
          <w:rFonts w:ascii="Verdana" w:eastAsia="Verdana" w:hAnsi="Verdana" w:cs="Verdana"/>
          <w:color w:val="000000" w:themeColor="text1"/>
          <w:sz w:val="20"/>
          <w:szCs w:val="20"/>
        </w:rPr>
        <w:t xml:space="preserve"> </w:t>
      </w:r>
      <w:r w:rsidR="008119E7" w:rsidRPr="00801407">
        <w:rPr>
          <w:rFonts w:ascii="Verdana" w:eastAsia="Verdana" w:hAnsi="Verdana" w:cs="Verdana"/>
          <w:color w:val="000000" w:themeColor="text1"/>
          <w:sz w:val="20"/>
          <w:szCs w:val="20"/>
        </w:rPr>
        <w:t xml:space="preserve">de que trata la Ley 2085 de 2021, </w:t>
      </w:r>
      <w:r w:rsidR="00BC4400" w:rsidRPr="00801407">
        <w:rPr>
          <w:rFonts w:ascii="Verdana" w:eastAsia="Verdana" w:hAnsi="Verdana" w:cs="Verdana"/>
          <w:color w:val="000000" w:themeColor="text1"/>
          <w:sz w:val="20"/>
          <w:szCs w:val="20"/>
        </w:rPr>
        <w:t>o</w:t>
      </w:r>
      <w:r w:rsidR="00CC3795" w:rsidRPr="00801407">
        <w:rPr>
          <w:rFonts w:ascii="Verdana" w:eastAsia="Verdana" w:hAnsi="Verdana" w:cs="Verdana"/>
          <w:color w:val="000000" w:themeColor="text1"/>
          <w:sz w:val="20"/>
          <w:szCs w:val="20"/>
        </w:rPr>
        <w:t>curre cuando se ha expedido una nueva norma que regula íntegramente la materia que trataban otras normas.</w:t>
      </w:r>
    </w:p>
    <w:p w14:paraId="76E3052D" w14:textId="77777777" w:rsidR="00495DF0" w:rsidRPr="00801407" w:rsidRDefault="00495DF0" w:rsidP="000570B4">
      <w:pPr>
        <w:tabs>
          <w:tab w:val="left" w:pos="9214"/>
        </w:tabs>
        <w:spacing w:after="0" w:line="240" w:lineRule="auto"/>
        <w:ind w:right="49"/>
        <w:jc w:val="both"/>
        <w:rPr>
          <w:rFonts w:ascii="Verdana" w:eastAsia="Verdana" w:hAnsi="Verdana" w:cs="Verdana"/>
          <w:color w:val="000000" w:themeColor="text1"/>
          <w:sz w:val="20"/>
          <w:szCs w:val="20"/>
        </w:rPr>
      </w:pPr>
    </w:p>
    <w:p w14:paraId="28F3D2E2" w14:textId="263E2F4E" w:rsidR="00F3523D" w:rsidRPr="00801407" w:rsidRDefault="008E56E9" w:rsidP="00FB07B2">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 xml:space="preserve">Que con el </w:t>
      </w:r>
      <w:r w:rsidR="00F3523D" w:rsidRPr="00801407">
        <w:rPr>
          <w:rFonts w:ascii="Verdana" w:eastAsia="Verdana" w:hAnsi="Verdana" w:cs="Verdana"/>
          <w:color w:val="000000" w:themeColor="text1"/>
          <w:sz w:val="20"/>
          <w:szCs w:val="20"/>
        </w:rPr>
        <w:t>objetivo principal de fortalecer el principio de seguridad jurídica y</w:t>
      </w:r>
      <w:r w:rsidR="00250DA1" w:rsidRPr="00801407">
        <w:rPr>
          <w:rFonts w:ascii="Verdana" w:eastAsia="Verdana" w:hAnsi="Verdana" w:cs="Verdana"/>
          <w:color w:val="000000" w:themeColor="text1"/>
          <w:sz w:val="20"/>
          <w:szCs w:val="20"/>
        </w:rPr>
        <w:t xml:space="preserve"> </w:t>
      </w:r>
      <w:r w:rsidRPr="00801407">
        <w:rPr>
          <w:rFonts w:ascii="Verdana" w:eastAsia="Verdana" w:hAnsi="Verdana" w:cs="Verdana"/>
          <w:color w:val="000000" w:themeColor="text1"/>
          <w:sz w:val="20"/>
          <w:szCs w:val="20"/>
        </w:rPr>
        <w:t xml:space="preserve">facilitar el desarrollo de los proyectos de depuración normativa de los sectores de la administración pública, la Dirección del Desarrollo del Derecho y del Ordenamiento Jurídico del Ministerio de Justicia y del Derecho diseñó la </w:t>
      </w:r>
      <w:r w:rsidRPr="00801407">
        <w:rPr>
          <w:rFonts w:ascii="Verdana" w:eastAsia="Verdana" w:hAnsi="Verdana" w:cs="Verdana"/>
          <w:i/>
          <w:iCs/>
          <w:color w:val="000000" w:themeColor="text1"/>
          <w:sz w:val="20"/>
          <w:szCs w:val="20"/>
        </w:rPr>
        <w:t>“</w:t>
      </w:r>
      <w:r w:rsidR="00F3523D" w:rsidRPr="00801407">
        <w:rPr>
          <w:rFonts w:ascii="Verdana" w:eastAsia="Verdana" w:hAnsi="Verdana" w:cs="Verdana"/>
          <w:i/>
          <w:iCs/>
          <w:color w:val="000000" w:themeColor="text1"/>
          <w:sz w:val="20"/>
          <w:szCs w:val="20"/>
        </w:rPr>
        <w:t>METODOLOGÍA DE DEPURACIÓN NORMATIVA PARA LOS PROYECTOS DE DEPURACIÓN DE LAS DISPOSICIONES NORMATIVAS DE LOS DECRETOS ÚNICOS REGLAMENTARIOS (DUR) V3”</w:t>
      </w:r>
      <w:r w:rsidR="00F3523D" w:rsidRPr="00801407">
        <w:rPr>
          <w:rFonts w:ascii="Verdana" w:eastAsia="Verdana" w:hAnsi="Verdana" w:cs="Verdana"/>
          <w:color w:val="000000" w:themeColor="text1"/>
          <w:sz w:val="20"/>
          <w:szCs w:val="20"/>
        </w:rPr>
        <w:t xml:space="preserve"> (2023)</w:t>
      </w:r>
      <w:r w:rsidR="00990EBE" w:rsidRPr="00801407">
        <w:rPr>
          <w:rFonts w:ascii="Verdana" w:eastAsia="Verdana" w:hAnsi="Verdana" w:cs="Verdana"/>
          <w:color w:val="000000" w:themeColor="text1"/>
          <w:sz w:val="20"/>
          <w:szCs w:val="20"/>
        </w:rPr>
        <w:t>, la cual</w:t>
      </w:r>
      <w:r w:rsidR="00250DA1" w:rsidRPr="00801407">
        <w:rPr>
          <w:rFonts w:ascii="Verdana" w:eastAsia="Verdana" w:hAnsi="Verdana" w:cs="Verdana"/>
          <w:color w:val="000000" w:themeColor="text1"/>
          <w:sz w:val="20"/>
          <w:szCs w:val="20"/>
        </w:rPr>
        <w:t xml:space="preserve"> </w:t>
      </w:r>
      <w:r w:rsidR="00AA1783" w:rsidRPr="00801407">
        <w:rPr>
          <w:rFonts w:ascii="Verdana" w:eastAsia="Verdana" w:hAnsi="Verdana" w:cs="Verdana"/>
          <w:color w:val="000000" w:themeColor="text1"/>
          <w:sz w:val="20"/>
          <w:szCs w:val="20"/>
        </w:rPr>
        <w:t xml:space="preserve">es aplicable a las entidades del orden nacional. </w:t>
      </w:r>
    </w:p>
    <w:p w14:paraId="1F93018B" w14:textId="77777777" w:rsidR="00DA0E1D" w:rsidRPr="00801407" w:rsidRDefault="00DA0E1D" w:rsidP="00FB07B2">
      <w:pPr>
        <w:tabs>
          <w:tab w:val="left" w:pos="9214"/>
        </w:tabs>
        <w:spacing w:after="0" w:line="240" w:lineRule="auto"/>
        <w:ind w:right="49"/>
        <w:jc w:val="both"/>
        <w:rPr>
          <w:rFonts w:ascii="Verdana" w:eastAsia="Verdana" w:hAnsi="Verdana" w:cs="Verdana"/>
          <w:color w:val="000000" w:themeColor="text1"/>
          <w:sz w:val="20"/>
          <w:szCs w:val="20"/>
        </w:rPr>
      </w:pPr>
    </w:p>
    <w:p w14:paraId="05B89365" w14:textId="01C60B6D" w:rsidR="00866B34" w:rsidRPr="00801407" w:rsidRDefault="008E56E9" w:rsidP="005C3994">
      <w:pPr>
        <w:tabs>
          <w:tab w:val="left" w:pos="9214"/>
        </w:tabs>
        <w:spacing w:after="0" w:line="240" w:lineRule="auto"/>
        <w:ind w:right="49"/>
        <w:jc w:val="both"/>
        <w:rPr>
          <w:rFonts w:ascii="Verdana" w:eastAsia="Verdana" w:hAnsi="Verdana" w:cs="Verdana"/>
          <w:sz w:val="20"/>
          <w:szCs w:val="20"/>
        </w:rPr>
      </w:pPr>
      <w:r w:rsidRPr="00801407">
        <w:rPr>
          <w:rFonts w:ascii="Verdana" w:eastAsia="Verdana" w:hAnsi="Verdana" w:cs="Verdana"/>
          <w:color w:val="000000" w:themeColor="text1"/>
          <w:sz w:val="20"/>
          <w:szCs w:val="20"/>
        </w:rPr>
        <w:t>Que la metodología</w:t>
      </w:r>
      <w:r w:rsidR="00990EBE" w:rsidRPr="00801407">
        <w:rPr>
          <w:rFonts w:ascii="Verdana" w:eastAsia="Verdana" w:hAnsi="Verdana" w:cs="Verdana"/>
          <w:color w:val="000000" w:themeColor="text1"/>
          <w:sz w:val="20"/>
          <w:szCs w:val="20"/>
        </w:rPr>
        <w:t xml:space="preserve"> señalada</w:t>
      </w:r>
      <w:r w:rsidRPr="00801407">
        <w:rPr>
          <w:rFonts w:ascii="Verdana" w:eastAsia="Verdana" w:hAnsi="Verdana" w:cs="Verdana"/>
          <w:color w:val="000000" w:themeColor="text1"/>
          <w:sz w:val="20"/>
          <w:szCs w:val="20"/>
        </w:rPr>
        <w:t xml:space="preserve"> establece </w:t>
      </w:r>
      <w:r w:rsidR="001245B9" w:rsidRPr="00801407">
        <w:rPr>
          <w:rFonts w:ascii="Verdana" w:eastAsia="Verdana" w:hAnsi="Verdana" w:cs="Verdana"/>
          <w:color w:val="000000" w:themeColor="text1"/>
          <w:sz w:val="20"/>
          <w:szCs w:val="20"/>
        </w:rPr>
        <w:t xml:space="preserve">el fortalecimiento del principio de seguridad jurídica </w:t>
      </w:r>
      <w:r w:rsidRPr="00801407">
        <w:rPr>
          <w:rFonts w:ascii="Verdana" w:eastAsia="Verdana" w:hAnsi="Verdana" w:cs="Verdana"/>
          <w:color w:val="000000" w:themeColor="text1"/>
          <w:sz w:val="20"/>
          <w:szCs w:val="20"/>
        </w:rPr>
        <w:t xml:space="preserve">como </w:t>
      </w:r>
      <w:r w:rsidR="00FD2A71" w:rsidRPr="00801407">
        <w:rPr>
          <w:rFonts w:ascii="Verdana" w:eastAsia="Verdana" w:hAnsi="Verdana" w:cs="Verdana"/>
          <w:color w:val="000000" w:themeColor="text1"/>
          <w:sz w:val="20"/>
          <w:szCs w:val="20"/>
        </w:rPr>
        <w:t>objetivo principal de los proyectos de depuración adelantados por los sectores de la administración pública nacional</w:t>
      </w:r>
      <w:r w:rsidR="00990EBE" w:rsidRPr="00801407">
        <w:rPr>
          <w:rFonts w:ascii="Verdana" w:eastAsia="Verdana" w:hAnsi="Verdana" w:cs="Verdana"/>
          <w:color w:val="000000" w:themeColor="text1"/>
          <w:sz w:val="20"/>
          <w:szCs w:val="20"/>
        </w:rPr>
        <w:t>, el cual</w:t>
      </w:r>
      <w:r w:rsidR="005C3994" w:rsidRPr="00801407">
        <w:rPr>
          <w:rFonts w:ascii="Verdana" w:eastAsia="Verdana" w:hAnsi="Verdana" w:cs="Verdana"/>
          <w:color w:val="000000" w:themeColor="text1"/>
          <w:sz w:val="20"/>
          <w:szCs w:val="20"/>
        </w:rPr>
        <w:t xml:space="preserve"> </w:t>
      </w:r>
      <w:r w:rsidR="005D64F2" w:rsidRPr="00801407">
        <w:rPr>
          <w:rFonts w:ascii="Verdana" w:eastAsia="Verdana" w:hAnsi="Verdana" w:cs="Verdana"/>
          <w:i/>
          <w:iCs/>
          <w:color w:val="000000" w:themeColor="text1"/>
          <w:sz w:val="20"/>
          <w:szCs w:val="20"/>
        </w:rPr>
        <w:t>“</w:t>
      </w:r>
      <w:r w:rsidR="005C3994" w:rsidRPr="00801407">
        <w:rPr>
          <w:rFonts w:ascii="Verdana" w:eastAsia="Verdana" w:hAnsi="Verdana" w:cs="Verdana"/>
          <w:i/>
          <w:iCs/>
          <w:color w:val="000000" w:themeColor="text1"/>
          <w:sz w:val="20"/>
          <w:szCs w:val="20"/>
        </w:rPr>
        <w:t xml:space="preserve">se </w:t>
      </w:r>
      <w:r w:rsidR="00866B34" w:rsidRPr="00801407">
        <w:rPr>
          <w:rFonts w:ascii="Verdana" w:eastAsia="Verdana" w:hAnsi="Verdana" w:cs="Verdana"/>
          <w:i/>
          <w:iCs/>
          <w:color w:val="000000" w:themeColor="text1"/>
          <w:sz w:val="20"/>
          <w:szCs w:val="20"/>
        </w:rPr>
        <w:t>logra identificando y derogando de manera expresa las disposiciones normativas que, pese a estar</w:t>
      </w:r>
      <w:r w:rsidR="00866B34" w:rsidRPr="00801407">
        <w:rPr>
          <w:rFonts w:ascii="Verdana" w:eastAsia="Verdana" w:hAnsi="Verdana" w:cs="Verdana"/>
          <w:i/>
          <w:iCs/>
          <w:sz w:val="20"/>
          <w:szCs w:val="20"/>
        </w:rPr>
        <w:t xml:space="preserve"> formalmente vigentes por no haber sido derogadas expresamente, no están produciendo o no pueden volver a producir efectos jurídicos o resultan contradictorias con disposiciones jurídicas superiores</w:t>
      </w:r>
      <w:r w:rsidR="00841C05" w:rsidRPr="00801407">
        <w:rPr>
          <w:rFonts w:ascii="Verdana" w:eastAsia="Verdana" w:hAnsi="Verdana" w:cs="Verdana"/>
          <w:i/>
          <w:iCs/>
          <w:sz w:val="20"/>
          <w:szCs w:val="20"/>
        </w:rPr>
        <w:t>”</w:t>
      </w:r>
      <w:r w:rsidR="0060659F" w:rsidRPr="00801407">
        <w:rPr>
          <w:rFonts w:ascii="Verdana" w:eastAsia="Verdana" w:hAnsi="Verdana" w:cs="Verdana"/>
          <w:sz w:val="20"/>
          <w:szCs w:val="20"/>
        </w:rPr>
        <w:t xml:space="preserve">. </w:t>
      </w:r>
      <w:r w:rsidR="000323E8" w:rsidRPr="00801407">
        <w:rPr>
          <w:rFonts w:ascii="Verdana" w:eastAsia="Verdana" w:hAnsi="Verdana" w:cs="Verdana"/>
          <w:sz w:val="20"/>
          <w:szCs w:val="20"/>
        </w:rPr>
        <w:t xml:space="preserve"> </w:t>
      </w:r>
    </w:p>
    <w:p w14:paraId="67A9CEA9" w14:textId="77777777" w:rsidR="00493293" w:rsidRPr="00801407" w:rsidRDefault="00493293">
      <w:pPr>
        <w:tabs>
          <w:tab w:val="left" w:pos="9214"/>
        </w:tabs>
        <w:spacing w:after="0" w:line="240" w:lineRule="auto"/>
        <w:ind w:right="49"/>
        <w:jc w:val="both"/>
        <w:rPr>
          <w:rFonts w:ascii="Verdana" w:eastAsia="Verdana" w:hAnsi="Verdana" w:cs="Verdana"/>
          <w:sz w:val="20"/>
          <w:szCs w:val="20"/>
        </w:rPr>
      </w:pPr>
    </w:p>
    <w:p w14:paraId="16CE5DAD" w14:textId="0AB74DB9" w:rsidR="00493293" w:rsidRPr="00801407" w:rsidRDefault="00493293">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 xml:space="preserve">Que con base en lo establecido por el artículo 2 de la Ley 2085 de 2021, y sin perjuicio de que se identifiquen y utilicen nuevos criterios de depuración normativa, </w:t>
      </w:r>
      <w:r w:rsidR="008A2E4B" w:rsidRPr="00801407">
        <w:rPr>
          <w:rFonts w:ascii="Verdana" w:eastAsia="Verdana" w:hAnsi="Verdana" w:cs="Verdana"/>
          <w:color w:val="000000" w:themeColor="text1"/>
          <w:sz w:val="20"/>
          <w:szCs w:val="20"/>
        </w:rPr>
        <w:t xml:space="preserve">la metodología </w:t>
      </w:r>
      <w:r w:rsidR="00615F66" w:rsidRPr="00801407">
        <w:rPr>
          <w:rFonts w:ascii="Verdana" w:eastAsia="Verdana" w:hAnsi="Verdana" w:cs="Verdana"/>
          <w:color w:val="000000" w:themeColor="text1"/>
          <w:sz w:val="20"/>
          <w:szCs w:val="20"/>
        </w:rPr>
        <w:t xml:space="preserve">diseñada </w:t>
      </w:r>
      <w:r w:rsidR="00615F66" w:rsidRPr="00801407">
        <w:rPr>
          <w:rFonts w:ascii="Verdana" w:eastAsia="Verdana" w:hAnsi="Verdana" w:cs="Verdana"/>
          <w:color w:val="000000" w:themeColor="text1"/>
          <w:sz w:val="20"/>
          <w:szCs w:val="20"/>
        </w:rPr>
        <w:lastRenderedPageBreak/>
        <w:t xml:space="preserve">por el Ministerio de Justicia y del Derecho </w:t>
      </w:r>
      <w:r w:rsidRPr="00801407">
        <w:rPr>
          <w:rFonts w:ascii="Verdana" w:eastAsia="Verdana" w:hAnsi="Verdana" w:cs="Verdana"/>
          <w:color w:val="000000" w:themeColor="text1"/>
          <w:sz w:val="20"/>
          <w:szCs w:val="20"/>
        </w:rPr>
        <w:t>considera que, en general, las disposiciones jurídicas vigentes pueden</w:t>
      </w:r>
      <w:r w:rsidR="00615F66" w:rsidRPr="00801407">
        <w:rPr>
          <w:rFonts w:ascii="Verdana" w:eastAsia="Verdana" w:hAnsi="Verdana" w:cs="Verdana"/>
          <w:color w:val="000000" w:themeColor="text1"/>
          <w:sz w:val="20"/>
          <w:szCs w:val="20"/>
        </w:rPr>
        <w:t xml:space="preserve"> </w:t>
      </w:r>
      <w:r w:rsidRPr="00801407">
        <w:rPr>
          <w:rFonts w:ascii="Verdana" w:eastAsia="Verdana" w:hAnsi="Verdana" w:cs="Verdana"/>
          <w:color w:val="000000" w:themeColor="text1"/>
          <w:sz w:val="20"/>
          <w:szCs w:val="20"/>
        </w:rPr>
        <w:t>ser depuradas cuand</w:t>
      </w:r>
      <w:r w:rsidR="00615F66" w:rsidRPr="00801407">
        <w:rPr>
          <w:rFonts w:ascii="Verdana" w:eastAsia="Verdana" w:hAnsi="Verdana" w:cs="Verdana"/>
          <w:color w:val="000000" w:themeColor="text1"/>
          <w:sz w:val="20"/>
          <w:szCs w:val="20"/>
        </w:rPr>
        <w:t>o (i) s</w:t>
      </w:r>
      <w:r w:rsidRPr="00801407">
        <w:rPr>
          <w:rFonts w:ascii="Verdana" w:eastAsia="Verdana" w:hAnsi="Verdana" w:cs="Verdana"/>
          <w:color w:val="000000" w:themeColor="text1"/>
          <w:sz w:val="20"/>
          <w:szCs w:val="20"/>
        </w:rPr>
        <w:t>e tornan obsoletas</w:t>
      </w:r>
      <w:r w:rsidR="00615F66" w:rsidRPr="00801407">
        <w:rPr>
          <w:rFonts w:ascii="Verdana" w:eastAsia="Verdana" w:hAnsi="Verdana" w:cs="Verdana"/>
          <w:color w:val="000000" w:themeColor="text1"/>
          <w:sz w:val="20"/>
          <w:szCs w:val="20"/>
        </w:rPr>
        <w:t>, (ii) c</w:t>
      </w:r>
      <w:r w:rsidRPr="00801407">
        <w:rPr>
          <w:rFonts w:ascii="Verdana" w:eastAsia="Verdana" w:hAnsi="Verdana" w:cs="Verdana"/>
          <w:color w:val="000000" w:themeColor="text1"/>
          <w:sz w:val="20"/>
          <w:szCs w:val="20"/>
        </w:rPr>
        <w:t>ontravienen de forma evidente el régimen constitucional vigente</w:t>
      </w:r>
      <w:r w:rsidR="00615F66" w:rsidRPr="00801407">
        <w:rPr>
          <w:rFonts w:ascii="Verdana" w:eastAsia="Verdana" w:hAnsi="Verdana" w:cs="Verdana"/>
          <w:color w:val="000000" w:themeColor="text1"/>
          <w:sz w:val="20"/>
          <w:szCs w:val="20"/>
        </w:rPr>
        <w:t>, (iii) h</w:t>
      </w:r>
      <w:r w:rsidRPr="00801407">
        <w:rPr>
          <w:rFonts w:ascii="Verdana" w:eastAsia="Verdana" w:hAnsi="Verdana" w:cs="Verdana"/>
          <w:color w:val="000000" w:themeColor="text1"/>
          <w:sz w:val="20"/>
          <w:szCs w:val="20"/>
        </w:rPr>
        <w:t>an sido objeto de derogatorias orgánicas no expresas en cuanto a su alcance, que llevan a que carezcan actualmente de objeto</w:t>
      </w:r>
      <w:r w:rsidR="00615F66" w:rsidRPr="00801407">
        <w:rPr>
          <w:rFonts w:ascii="Verdana" w:eastAsia="Verdana" w:hAnsi="Verdana" w:cs="Verdana"/>
          <w:color w:val="000000" w:themeColor="text1"/>
          <w:sz w:val="20"/>
          <w:szCs w:val="20"/>
        </w:rPr>
        <w:t>, (iv) h</w:t>
      </w:r>
      <w:r w:rsidRPr="00801407">
        <w:rPr>
          <w:rFonts w:ascii="Verdana" w:eastAsia="Verdana" w:hAnsi="Verdana" w:cs="Verdana"/>
          <w:color w:val="000000" w:themeColor="text1"/>
          <w:sz w:val="20"/>
          <w:szCs w:val="20"/>
        </w:rPr>
        <w:t>an cumplido o agotado el objeto para el cual fueron expedidas</w:t>
      </w:r>
      <w:r w:rsidR="00237477" w:rsidRPr="00801407">
        <w:rPr>
          <w:rFonts w:ascii="Verdana" w:eastAsia="Verdana" w:hAnsi="Verdana" w:cs="Verdana"/>
          <w:color w:val="000000" w:themeColor="text1"/>
          <w:sz w:val="20"/>
          <w:szCs w:val="20"/>
        </w:rPr>
        <w:t>,</w:t>
      </w:r>
      <w:r w:rsidR="00615F66" w:rsidRPr="00801407">
        <w:rPr>
          <w:rFonts w:ascii="Verdana" w:eastAsia="Verdana" w:hAnsi="Verdana" w:cs="Verdana"/>
          <w:color w:val="000000" w:themeColor="text1"/>
          <w:sz w:val="20"/>
          <w:szCs w:val="20"/>
        </w:rPr>
        <w:t xml:space="preserve"> h</w:t>
      </w:r>
      <w:r w:rsidRPr="00801407">
        <w:rPr>
          <w:rFonts w:ascii="Verdana" w:eastAsia="Verdana" w:hAnsi="Verdana" w:cs="Verdana"/>
          <w:color w:val="000000" w:themeColor="text1"/>
          <w:sz w:val="20"/>
          <w:szCs w:val="20"/>
        </w:rPr>
        <w:t>a finalizado su capacidad de producir efectos jurídicos por cumplimiento del término o la condición resolutoria a la cual ésta estaba condicionada</w:t>
      </w:r>
      <w:r w:rsidR="00615F66" w:rsidRPr="00801407">
        <w:rPr>
          <w:rFonts w:ascii="Verdana" w:eastAsia="Verdana" w:hAnsi="Verdana" w:cs="Verdana"/>
          <w:color w:val="000000" w:themeColor="text1"/>
          <w:sz w:val="20"/>
          <w:szCs w:val="20"/>
        </w:rPr>
        <w:t xml:space="preserve">, </w:t>
      </w:r>
      <w:r w:rsidR="00237477" w:rsidRPr="00801407">
        <w:rPr>
          <w:rFonts w:ascii="Verdana" w:eastAsia="Verdana" w:hAnsi="Verdana" w:cs="Verdana"/>
          <w:color w:val="000000" w:themeColor="text1"/>
          <w:sz w:val="20"/>
          <w:szCs w:val="20"/>
        </w:rPr>
        <w:t xml:space="preserve">y </w:t>
      </w:r>
      <w:r w:rsidR="00812C5E" w:rsidRPr="00801407">
        <w:rPr>
          <w:rFonts w:ascii="Verdana" w:eastAsia="Verdana" w:hAnsi="Verdana" w:cs="Verdana"/>
          <w:color w:val="000000" w:themeColor="text1"/>
          <w:sz w:val="20"/>
          <w:szCs w:val="20"/>
        </w:rPr>
        <w:t>(v) e</w:t>
      </w:r>
      <w:r w:rsidRPr="00801407">
        <w:rPr>
          <w:rFonts w:ascii="Verdana" w:eastAsia="Verdana" w:hAnsi="Verdana" w:cs="Verdana"/>
          <w:color w:val="000000" w:themeColor="text1"/>
          <w:sz w:val="20"/>
          <w:szCs w:val="20"/>
        </w:rPr>
        <w:t>n el caso de los decretos legislativos, los que no fueron adoptad</w:t>
      </w:r>
      <w:r w:rsidR="00237477" w:rsidRPr="00801407">
        <w:rPr>
          <w:rFonts w:ascii="Verdana" w:eastAsia="Verdana" w:hAnsi="Verdana" w:cs="Verdana"/>
          <w:color w:val="000000" w:themeColor="text1"/>
          <w:sz w:val="20"/>
          <w:szCs w:val="20"/>
        </w:rPr>
        <w:t>o</w:t>
      </w:r>
      <w:r w:rsidRPr="00801407">
        <w:rPr>
          <w:rFonts w:ascii="Verdana" w:eastAsia="Verdana" w:hAnsi="Verdana" w:cs="Verdana"/>
          <w:color w:val="000000" w:themeColor="text1"/>
          <w:sz w:val="20"/>
          <w:szCs w:val="20"/>
        </w:rPr>
        <w:t>s como legislación permanente.</w:t>
      </w:r>
      <w:r w:rsidR="00237477" w:rsidRPr="00801407">
        <w:rPr>
          <w:rFonts w:ascii="Verdana" w:eastAsia="Verdana" w:hAnsi="Verdana" w:cs="Verdana"/>
          <w:color w:val="000000" w:themeColor="text1"/>
          <w:sz w:val="20"/>
          <w:szCs w:val="20"/>
        </w:rPr>
        <w:t xml:space="preserve"> </w:t>
      </w:r>
    </w:p>
    <w:p w14:paraId="092C977E" w14:textId="77777777" w:rsidR="001C0F81" w:rsidRPr="00801407" w:rsidRDefault="001C0F81">
      <w:pPr>
        <w:tabs>
          <w:tab w:val="left" w:pos="9214"/>
        </w:tabs>
        <w:spacing w:after="0" w:line="240" w:lineRule="auto"/>
        <w:ind w:right="49"/>
        <w:jc w:val="both"/>
        <w:rPr>
          <w:rFonts w:ascii="Verdana" w:eastAsia="Verdana" w:hAnsi="Verdana" w:cs="Verdana"/>
          <w:color w:val="000000" w:themeColor="text1"/>
          <w:sz w:val="20"/>
          <w:szCs w:val="20"/>
        </w:rPr>
      </w:pPr>
    </w:p>
    <w:p w14:paraId="23652887" w14:textId="77777777" w:rsidR="005D7C8F" w:rsidRPr="00801407" w:rsidRDefault="005D7C8F" w:rsidP="005D7C8F">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 xml:space="preserve">Que el Decreto 1609 de 2015 (modificatorio del título 2 de la parte 1 del libro 2 del Decreto 1081 de 2015, Decreto Único Reglamentario- DUR del Sector de la Presidencia de la República, relativo a las directrices generales de técnica normativa) establece directrices generales de técnica normativa que tienen como propósito </w:t>
      </w:r>
      <w:r w:rsidRPr="00801407">
        <w:rPr>
          <w:rFonts w:ascii="Verdana" w:eastAsia="Verdana" w:hAnsi="Verdana" w:cs="Verdana"/>
          <w:i/>
          <w:iCs/>
          <w:color w:val="000000" w:themeColor="text1"/>
          <w:sz w:val="20"/>
          <w:szCs w:val="20"/>
        </w:rPr>
        <w:t>“racionalizar la expedición de decretos y resoluciones, dotar de seguridad jurídica a los destinatarios de la norma, evitar la dispersión y proliferación normativa, así como optimizar los recursos físicos y humanos utilizados en esta actividad, con el propósito de construir un ordenamiento jurídico eficaz, coherente y estructurado a partir de preceptos normativos correctamente formulados”</w:t>
      </w:r>
      <w:r w:rsidRPr="00801407">
        <w:rPr>
          <w:rFonts w:ascii="Verdana" w:eastAsia="Verdana" w:hAnsi="Verdana" w:cs="Verdana"/>
          <w:color w:val="000000" w:themeColor="text1"/>
          <w:sz w:val="20"/>
          <w:szCs w:val="20"/>
        </w:rPr>
        <w:t xml:space="preserve"> y que resultan aplicables para la expedición de resoluciones que no requieren firma del Presidente de la República y aquellas expedidas por las demás entidades de la rama ejecutiva del orden nacional. </w:t>
      </w:r>
    </w:p>
    <w:p w14:paraId="7AD08FB1" w14:textId="77777777" w:rsidR="005D7C8F" w:rsidRPr="00801407" w:rsidRDefault="005D7C8F" w:rsidP="005D7C8F">
      <w:pPr>
        <w:tabs>
          <w:tab w:val="left" w:pos="9214"/>
        </w:tabs>
        <w:spacing w:after="0" w:line="240" w:lineRule="auto"/>
        <w:ind w:right="49"/>
        <w:jc w:val="both"/>
        <w:rPr>
          <w:rFonts w:ascii="Verdana" w:eastAsia="Verdana" w:hAnsi="Verdana" w:cs="Verdana"/>
          <w:color w:val="000000" w:themeColor="text1"/>
          <w:sz w:val="20"/>
          <w:szCs w:val="20"/>
        </w:rPr>
      </w:pPr>
    </w:p>
    <w:p w14:paraId="2E257289" w14:textId="246057D1" w:rsidR="005D7C8F" w:rsidRPr="00801407" w:rsidRDefault="005D7C8F" w:rsidP="005D7C8F">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 xml:space="preserve">Que el mencionado Decreto 1609 de 2015 establece que la coordinación y verificación del cumplimiento de las directrices de técnica normativa allí establecidas y aplicables </w:t>
      </w:r>
      <w:r w:rsidR="000071F6" w:rsidRPr="00801407">
        <w:rPr>
          <w:rFonts w:ascii="Verdana" w:eastAsia="Verdana" w:hAnsi="Verdana" w:cs="Verdana"/>
          <w:color w:val="000000" w:themeColor="text1"/>
          <w:sz w:val="20"/>
          <w:szCs w:val="20"/>
        </w:rPr>
        <w:t xml:space="preserve">a </w:t>
      </w:r>
      <w:r w:rsidRPr="00801407">
        <w:rPr>
          <w:rFonts w:ascii="Verdana" w:eastAsia="Verdana" w:hAnsi="Verdana" w:cs="Verdana"/>
          <w:color w:val="000000" w:themeColor="text1"/>
          <w:sz w:val="20"/>
          <w:szCs w:val="20"/>
        </w:rPr>
        <w:t>las entidades de la rama ejecutiva del orden nacional, estará a cargo de la secretaría jurídica o, en su defecto, de la oficina jurídica de cada organismo o entidad.</w:t>
      </w:r>
    </w:p>
    <w:p w14:paraId="76D34E06" w14:textId="77777777" w:rsidR="005D7C8F" w:rsidRPr="00801407" w:rsidRDefault="005D7C8F" w:rsidP="008E56E9">
      <w:pPr>
        <w:tabs>
          <w:tab w:val="left" w:pos="9214"/>
        </w:tabs>
        <w:spacing w:after="0" w:line="240" w:lineRule="auto"/>
        <w:ind w:right="49"/>
        <w:jc w:val="both"/>
        <w:rPr>
          <w:rFonts w:ascii="Verdana" w:eastAsia="Verdana" w:hAnsi="Verdana" w:cs="Verdana"/>
          <w:color w:val="000000" w:themeColor="text1"/>
          <w:sz w:val="20"/>
          <w:szCs w:val="20"/>
        </w:rPr>
      </w:pPr>
    </w:p>
    <w:p w14:paraId="284B3A7F" w14:textId="7E862578" w:rsidR="00F92941" w:rsidRPr="00801407" w:rsidRDefault="008E56E9" w:rsidP="00F92941">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 xml:space="preserve">Que en el marco de las actividades lideradas por la Oficina Asesora Jurídica del Ministerio de Ciencia, Tecnología e Innovación se </w:t>
      </w:r>
      <w:r w:rsidR="00E506D7" w:rsidRPr="00801407">
        <w:rPr>
          <w:rFonts w:ascii="Verdana" w:eastAsia="Verdana" w:hAnsi="Verdana" w:cs="Verdana"/>
          <w:color w:val="000000" w:themeColor="text1"/>
          <w:sz w:val="20"/>
          <w:szCs w:val="20"/>
        </w:rPr>
        <w:t>identific</w:t>
      </w:r>
      <w:r w:rsidRPr="00801407">
        <w:rPr>
          <w:rFonts w:ascii="Verdana" w:eastAsia="Verdana" w:hAnsi="Verdana" w:cs="Verdana"/>
          <w:color w:val="000000" w:themeColor="text1"/>
          <w:sz w:val="20"/>
          <w:szCs w:val="20"/>
        </w:rPr>
        <w:t xml:space="preserve">ó que </w:t>
      </w:r>
      <w:r w:rsidR="00E506D7" w:rsidRPr="00801407">
        <w:rPr>
          <w:rFonts w:ascii="Verdana" w:eastAsia="Verdana" w:hAnsi="Verdana" w:cs="Verdana"/>
          <w:color w:val="000000" w:themeColor="text1"/>
          <w:sz w:val="20"/>
          <w:szCs w:val="20"/>
        </w:rPr>
        <w:t>existen</w:t>
      </w:r>
      <w:r w:rsidRPr="00801407">
        <w:rPr>
          <w:rFonts w:ascii="Verdana" w:eastAsia="Verdana" w:hAnsi="Verdana" w:cs="Verdana"/>
          <w:color w:val="000000" w:themeColor="text1"/>
          <w:sz w:val="20"/>
          <w:szCs w:val="20"/>
        </w:rPr>
        <w:t xml:space="preserve"> </w:t>
      </w:r>
      <w:r w:rsidR="00625B7C" w:rsidRPr="00801407">
        <w:rPr>
          <w:rFonts w:ascii="Verdana" w:eastAsia="Verdana" w:hAnsi="Verdana" w:cs="Verdana"/>
          <w:color w:val="000000" w:themeColor="text1"/>
          <w:sz w:val="20"/>
          <w:szCs w:val="20"/>
        </w:rPr>
        <w:t xml:space="preserve">actos administrativos y disposiciones de </w:t>
      </w:r>
      <w:r w:rsidR="00FD1C3C" w:rsidRPr="00801407">
        <w:rPr>
          <w:rFonts w:ascii="Verdana" w:eastAsia="Verdana" w:hAnsi="Verdana" w:cs="Verdana"/>
          <w:color w:val="000000" w:themeColor="text1"/>
          <w:sz w:val="20"/>
          <w:szCs w:val="20"/>
        </w:rPr>
        <w:t>regulación interna de carácter general y abstracto</w:t>
      </w:r>
      <w:r w:rsidRPr="00801407">
        <w:rPr>
          <w:rFonts w:ascii="Verdana" w:eastAsia="Verdana" w:hAnsi="Verdana" w:cs="Verdana"/>
          <w:color w:val="000000" w:themeColor="text1"/>
          <w:sz w:val="20"/>
          <w:szCs w:val="20"/>
        </w:rPr>
        <w:t xml:space="preserve"> que</w:t>
      </w:r>
      <w:r w:rsidR="002F41EE" w:rsidRPr="00801407">
        <w:rPr>
          <w:rFonts w:ascii="Verdana" w:eastAsia="Verdana" w:hAnsi="Verdana" w:cs="Verdana"/>
          <w:color w:val="000000" w:themeColor="text1"/>
          <w:sz w:val="20"/>
          <w:szCs w:val="20"/>
        </w:rPr>
        <w:t xml:space="preserve">, pese a </w:t>
      </w:r>
      <w:r w:rsidRPr="00801407">
        <w:rPr>
          <w:rFonts w:ascii="Verdana" w:eastAsia="Verdana" w:hAnsi="Verdana" w:cs="Verdana"/>
          <w:color w:val="000000" w:themeColor="text1"/>
          <w:sz w:val="20"/>
          <w:szCs w:val="20"/>
        </w:rPr>
        <w:t>no t</w:t>
      </w:r>
      <w:r w:rsidR="002F41EE" w:rsidRPr="00801407">
        <w:rPr>
          <w:rFonts w:ascii="Verdana" w:eastAsia="Verdana" w:hAnsi="Verdana" w:cs="Verdana"/>
          <w:color w:val="000000" w:themeColor="text1"/>
          <w:sz w:val="20"/>
          <w:szCs w:val="20"/>
        </w:rPr>
        <w:t>ener</w:t>
      </w:r>
      <w:r w:rsidRPr="00801407">
        <w:rPr>
          <w:rFonts w:ascii="Verdana" w:eastAsia="Verdana" w:hAnsi="Verdana" w:cs="Verdana"/>
          <w:color w:val="000000" w:themeColor="text1"/>
          <w:sz w:val="20"/>
          <w:szCs w:val="20"/>
        </w:rPr>
        <w:t xml:space="preserve"> derogatoria expresa</w:t>
      </w:r>
      <w:r w:rsidR="00FD1C3C" w:rsidRPr="00801407">
        <w:rPr>
          <w:rFonts w:ascii="Verdana" w:eastAsia="Verdana" w:hAnsi="Verdana" w:cs="Verdana"/>
          <w:color w:val="000000" w:themeColor="text1"/>
          <w:sz w:val="20"/>
          <w:szCs w:val="20"/>
        </w:rPr>
        <w:t>,</w:t>
      </w:r>
      <w:r w:rsidR="002F41EE" w:rsidRPr="00801407">
        <w:rPr>
          <w:rFonts w:ascii="Verdana" w:eastAsia="Verdana" w:hAnsi="Verdana" w:cs="Verdana"/>
          <w:color w:val="000000" w:themeColor="text1"/>
          <w:sz w:val="20"/>
          <w:szCs w:val="20"/>
        </w:rPr>
        <w:t xml:space="preserve"> ya no resultan aplicables </w:t>
      </w:r>
      <w:r w:rsidR="0041789C" w:rsidRPr="00801407">
        <w:rPr>
          <w:rFonts w:ascii="Verdana" w:eastAsia="Verdana" w:hAnsi="Verdana" w:cs="Verdana"/>
          <w:color w:val="000000" w:themeColor="text1"/>
          <w:sz w:val="20"/>
          <w:szCs w:val="20"/>
        </w:rPr>
        <w:t>en el marco de la política de CT</w:t>
      </w:r>
      <w:r w:rsidR="00590DCC" w:rsidRPr="00801407">
        <w:rPr>
          <w:rFonts w:ascii="Verdana" w:eastAsia="Verdana" w:hAnsi="Verdana" w:cs="Verdana"/>
          <w:color w:val="000000" w:themeColor="text1"/>
          <w:sz w:val="20"/>
          <w:szCs w:val="20"/>
        </w:rPr>
        <w:t>eI</w:t>
      </w:r>
      <w:r w:rsidR="004F54CF" w:rsidRPr="00801407">
        <w:rPr>
          <w:rFonts w:ascii="Verdana" w:eastAsia="Verdana" w:hAnsi="Verdana" w:cs="Verdana"/>
          <w:color w:val="000000" w:themeColor="text1"/>
          <w:sz w:val="20"/>
          <w:szCs w:val="20"/>
        </w:rPr>
        <w:t xml:space="preserve"> </w:t>
      </w:r>
      <w:r w:rsidR="000071F6" w:rsidRPr="00801407">
        <w:rPr>
          <w:rFonts w:ascii="Verdana" w:eastAsia="Verdana" w:hAnsi="Verdana" w:cs="Verdana"/>
          <w:color w:val="000000" w:themeColor="text1"/>
          <w:sz w:val="20"/>
          <w:szCs w:val="20"/>
        </w:rPr>
        <w:t xml:space="preserve">o </w:t>
      </w:r>
      <w:r w:rsidR="004F54CF" w:rsidRPr="00801407">
        <w:rPr>
          <w:rFonts w:ascii="Verdana" w:eastAsia="Verdana" w:hAnsi="Verdana" w:cs="Verdana"/>
          <w:color w:val="000000" w:themeColor="text1"/>
          <w:sz w:val="20"/>
          <w:szCs w:val="20"/>
        </w:rPr>
        <w:t xml:space="preserve">por </w:t>
      </w:r>
      <w:r w:rsidR="00F92941" w:rsidRPr="00801407">
        <w:rPr>
          <w:rFonts w:ascii="Verdana" w:eastAsia="Verdana" w:hAnsi="Verdana" w:cs="Verdana"/>
          <w:color w:val="000000" w:themeColor="text1"/>
          <w:sz w:val="20"/>
          <w:szCs w:val="20"/>
        </w:rPr>
        <w:t xml:space="preserve">estar incursas en los criterios establecidos en la </w:t>
      </w:r>
      <w:r w:rsidR="00F92941" w:rsidRPr="00801407">
        <w:rPr>
          <w:rFonts w:ascii="Verdana" w:eastAsia="Verdana" w:hAnsi="Verdana" w:cs="Verdana"/>
          <w:i/>
          <w:iCs/>
          <w:color w:val="000000" w:themeColor="text1"/>
          <w:sz w:val="20"/>
          <w:szCs w:val="20"/>
        </w:rPr>
        <w:t>“METODOLOGÍA DE DEPURACIÓN NORMATIVA PARA LOS PROYECTOS DE DEPURACIÓN DE LAS DISPOSICIONES NORMATIVAS DE LOS DECRETOS ÚNICOS REGLAMENTARIOS (DUR) V3”</w:t>
      </w:r>
      <w:r w:rsidR="00F92941" w:rsidRPr="00801407">
        <w:rPr>
          <w:rFonts w:ascii="Verdana" w:eastAsia="Verdana" w:hAnsi="Verdana" w:cs="Verdana"/>
          <w:color w:val="000000" w:themeColor="text1"/>
          <w:sz w:val="20"/>
          <w:szCs w:val="20"/>
        </w:rPr>
        <w:t xml:space="preserve"> (2023).</w:t>
      </w:r>
    </w:p>
    <w:p w14:paraId="32D109FF" w14:textId="77777777" w:rsidR="008119E7" w:rsidRPr="00801407" w:rsidRDefault="008119E7" w:rsidP="00F92941">
      <w:pPr>
        <w:tabs>
          <w:tab w:val="left" w:pos="9214"/>
        </w:tabs>
        <w:spacing w:after="0" w:line="240" w:lineRule="auto"/>
        <w:ind w:right="49"/>
        <w:jc w:val="both"/>
        <w:rPr>
          <w:rFonts w:ascii="Verdana" w:eastAsia="Verdana" w:hAnsi="Verdana" w:cs="Verdana"/>
          <w:color w:val="000000" w:themeColor="text1"/>
          <w:sz w:val="20"/>
          <w:szCs w:val="20"/>
        </w:rPr>
      </w:pPr>
    </w:p>
    <w:p w14:paraId="46373751" w14:textId="4DEF6D03" w:rsidR="008119E7" w:rsidRPr="00801407" w:rsidRDefault="008119E7" w:rsidP="00F92941">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 xml:space="preserve">Que dentro de estos actos administrativos y disposiciones de regulación interna de carácter general y abstracto se encuentra la Resolución 0445 de 2015 </w:t>
      </w:r>
      <w:r w:rsidRPr="00801407">
        <w:rPr>
          <w:rFonts w:ascii="Verdana" w:eastAsia="Verdana" w:hAnsi="Verdana" w:cs="Verdana"/>
          <w:i/>
          <w:iCs/>
          <w:color w:val="000000" w:themeColor="text1"/>
          <w:sz w:val="20"/>
          <w:szCs w:val="20"/>
        </w:rPr>
        <w:t>“Por la cual se adoptan los Lineamientos Generales de los Planes y Acuerdos Estratégicos Departamentales en CTeI”.</w:t>
      </w:r>
      <w:r w:rsidRPr="00801407">
        <w:rPr>
          <w:rFonts w:ascii="Verdana" w:eastAsia="Verdana" w:hAnsi="Verdana" w:cs="Verdana"/>
          <w:color w:val="000000" w:themeColor="text1"/>
          <w:sz w:val="20"/>
          <w:szCs w:val="20"/>
        </w:rPr>
        <w:t xml:space="preserve"> </w:t>
      </w:r>
    </w:p>
    <w:p w14:paraId="423C01BF" w14:textId="77777777" w:rsidR="008119E7" w:rsidRPr="00801407" w:rsidRDefault="008119E7" w:rsidP="00F92941">
      <w:pPr>
        <w:tabs>
          <w:tab w:val="left" w:pos="9214"/>
        </w:tabs>
        <w:spacing w:after="0" w:line="240" w:lineRule="auto"/>
        <w:ind w:right="49"/>
        <w:jc w:val="both"/>
        <w:rPr>
          <w:rFonts w:ascii="Verdana" w:eastAsia="Verdana" w:hAnsi="Verdana" w:cs="Verdana"/>
          <w:color w:val="000000" w:themeColor="text1"/>
          <w:sz w:val="20"/>
          <w:szCs w:val="20"/>
        </w:rPr>
      </w:pPr>
    </w:p>
    <w:p w14:paraId="14609263" w14:textId="75922514" w:rsidR="00D61EC9" w:rsidRPr="00801407" w:rsidRDefault="008119E7" w:rsidP="00801407">
      <w:pPr>
        <w:spacing w:after="0" w:line="240" w:lineRule="auto"/>
        <w:ind w:right="49"/>
        <w:jc w:val="both"/>
        <w:rPr>
          <w:rFonts w:ascii="Verdana" w:eastAsia="Verdana" w:hAnsi="Verdana" w:cs="Verdana"/>
          <w:sz w:val="20"/>
          <w:szCs w:val="20"/>
        </w:rPr>
      </w:pPr>
      <w:r w:rsidRPr="00801407">
        <w:rPr>
          <w:rFonts w:ascii="Verdana" w:eastAsia="Verdana" w:hAnsi="Verdana" w:cs="Verdana"/>
          <w:color w:val="000000" w:themeColor="text1"/>
          <w:sz w:val="20"/>
          <w:szCs w:val="20"/>
        </w:rPr>
        <w:t xml:space="preserve">Que la citada </w:t>
      </w:r>
      <w:r w:rsidR="00495DF0" w:rsidRPr="00801407">
        <w:rPr>
          <w:rFonts w:ascii="Verdana" w:eastAsia="Verdana" w:hAnsi="Verdana" w:cs="Verdana"/>
          <w:sz w:val="20"/>
          <w:szCs w:val="20"/>
        </w:rPr>
        <w:t xml:space="preserve">Resolución 0445 de 2015 </w:t>
      </w:r>
      <w:r w:rsidR="0042376F" w:rsidRPr="00801407">
        <w:rPr>
          <w:rFonts w:ascii="Verdana" w:eastAsia="Verdana" w:hAnsi="Verdana" w:cs="Verdana"/>
          <w:sz w:val="20"/>
          <w:szCs w:val="20"/>
        </w:rPr>
        <w:t xml:space="preserve">tuvo como fundamento jurídico las siguientes disposiciones normativas: </w:t>
      </w:r>
    </w:p>
    <w:p w14:paraId="2712F8BD" w14:textId="77777777" w:rsidR="0042376F" w:rsidRPr="00801407" w:rsidRDefault="0042376F">
      <w:pPr>
        <w:pStyle w:val="Prrafodelista"/>
        <w:spacing w:after="0" w:line="240" w:lineRule="auto"/>
        <w:ind w:right="49"/>
        <w:jc w:val="both"/>
        <w:rPr>
          <w:rFonts w:ascii="Verdana" w:eastAsia="Verdana" w:hAnsi="Verdana" w:cs="Verdana"/>
          <w:sz w:val="20"/>
          <w:szCs w:val="20"/>
        </w:rPr>
      </w:pPr>
    </w:p>
    <w:p w14:paraId="5F3EE513" w14:textId="1B097550" w:rsidR="00400D04" w:rsidRPr="00801407" w:rsidRDefault="00701C46" w:rsidP="00701C46">
      <w:pPr>
        <w:pStyle w:val="Prrafodelista"/>
        <w:numPr>
          <w:ilvl w:val="0"/>
          <w:numId w:val="2"/>
        </w:numPr>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 xml:space="preserve">El numeral 4 del artículo 5 el </w:t>
      </w:r>
      <w:r w:rsidR="0042376F" w:rsidRPr="00801407">
        <w:rPr>
          <w:rFonts w:ascii="Verdana" w:eastAsia="Verdana" w:hAnsi="Verdana" w:cs="Verdana"/>
          <w:sz w:val="20"/>
          <w:szCs w:val="20"/>
        </w:rPr>
        <w:t>Decreto 1904 de 2009</w:t>
      </w:r>
      <w:r w:rsidRPr="00801407">
        <w:rPr>
          <w:sz w:val="20"/>
          <w:szCs w:val="20"/>
        </w:rPr>
        <w:t xml:space="preserve"> </w:t>
      </w:r>
      <w:r w:rsidRPr="00801407">
        <w:rPr>
          <w:rFonts w:ascii="Verdana" w:eastAsia="Verdana" w:hAnsi="Verdana" w:cs="Verdana"/>
          <w:sz w:val="20"/>
          <w:szCs w:val="20"/>
        </w:rPr>
        <w:t>“</w:t>
      </w:r>
      <w:r w:rsidRPr="00801407">
        <w:rPr>
          <w:rFonts w:ascii="Verdana" w:eastAsia="Verdana" w:hAnsi="Verdana" w:cs="Verdana"/>
          <w:i/>
          <w:iCs/>
          <w:sz w:val="20"/>
          <w:szCs w:val="20"/>
        </w:rPr>
        <w:t>Por medio del cual se modifica la estructura del Departamento Administrativo de Ciencia, Tecnología e Innovación -Colciencias- y se dictan otras disposiciones.</w:t>
      </w:r>
      <w:r w:rsidRPr="00801407">
        <w:rPr>
          <w:rFonts w:ascii="Verdana" w:eastAsia="Verdana" w:hAnsi="Verdana" w:cs="Verdana"/>
          <w:sz w:val="20"/>
          <w:szCs w:val="20"/>
        </w:rPr>
        <w:t>”</w:t>
      </w:r>
      <w:r w:rsidR="00400D04" w:rsidRPr="00801407">
        <w:rPr>
          <w:rFonts w:ascii="Verdana" w:eastAsia="Verdana" w:hAnsi="Verdana" w:cs="Verdana"/>
          <w:sz w:val="20"/>
          <w:szCs w:val="20"/>
        </w:rPr>
        <w:t xml:space="preserve">, el cual señalaba: </w:t>
      </w:r>
    </w:p>
    <w:p w14:paraId="13C9DFB1" w14:textId="77777777" w:rsidR="00400D04" w:rsidRDefault="00400D04" w:rsidP="00400D04">
      <w:pPr>
        <w:pStyle w:val="Prrafodelista"/>
        <w:spacing w:after="0" w:line="240" w:lineRule="auto"/>
        <w:ind w:right="49"/>
        <w:jc w:val="both"/>
        <w:rPr>
          <w:rFonts w:ascii="Verdana" w:eastAsia="Verdana" w:hAnsi="Verdana" w:cs="Verdana"/>
          <w:sz w:val="20"/>
          <w:szCs w:val="20"/>
        </w:rPr>
      </w:pPr>
    </w:p>
    <w:p w14:paraId="2817FCCC" w14:textId="36725EF7" w:rsidR="00400D04" w:rsidRPr="00801407" w:rsidRDefault="00400D04" w:rsidP="00801407">
      <w:pPr>
        <w:pStyle w:val="Prrafodelista"/>
        <w:spacing w:after="0" w:line="240" w:lineRule="auto"/>
        <w:ind w:left="1134" w:right="616"/>
        <w:jc w:val="both"/>
        <w:rPr>
          <w:rFonts w:ascii="Verdana" w:eastAsia="Verdana" w:hAnsi="Verdana" w:cs="Verdana"/>
          <w:i/>
          <w:iCs/>
          <w:sz w:val="18"/>
          <w:szCs w:val="18"/>
        </w:rPr>
      </w:pPr>
      <w:r w:rsidRPr="00801407">
        <w:rPr>
          <w:rFonts w:ascii="Verdana" w:eastAsia="Verdana" w:hAnsi="Verdana" w:cs="Verdana"/>
          <w:i/>
          <w:iCs/>
          <w:sz w:val="18"/>
          <w:szCs w:val="18"/>
        </w:rPr>
        <w:lastRenderedPageBreak/>
        <w:t>“ARTÍCULO 5º. Despacho del director general del departamento administrativo de ciencia, tecnología e innovación. Son funciones del Despacho del Director General del Departamento Administrativo, además de las establecidas en la Constitución Política, y en el artículo 65 de la Ley 489 de 1998, las siguientes:</w:t>
      </w:r>
    </w:p>
    <w:p w14:paraId="15680017" w14:textId="77777777" w:rsidR="00400D04" w:rsidRPr="00801407" w:rsidRDefault="00400D04" w:rsidP="00801407">
      <w:pPr>
        <w:pStyle w:val="Prrafodelista"/>
        <w:spacing w:after="0" w:line="240" w:lineRule="auto"/>
        <w:ind w:left="1134" w:right="616"/>
        <w:jc w:val="both"/>
        <w:rPr>
          <w:rFonts w:ascii="Verdana" w:eastAsia="Verdana" w:hAnsi="Verdana" w:cs="Verdana"/>
          <w:i/>
          <w:iCs/>
          <w:sz w:val="18"/>
          <w:szCs w:val="18"/>
        </w:rPr>
      </w:pPr>
    </w:p>
    <w:p w14:paraId="5BDE5C88" w14:textId="378FD7CE" w:rsidR="00400D04" w:rsidRPr="00801407" w:rsidRDefault="00400D04" w:rsidP="00801407">
      <w:pPr>
        <w:pStyle w:val="Prrafodelista"/>
        <w:spacing w:after="0" w:line="240" w:lineRule="auto"/>
        <w:ind w:left="1134" w:right="616"/>
        <w:jc w:val="both"/>
        <w:rPr>
          <w:rFonts w:ascii="Verdana" w:eastAsia="Verdana" w:hAnsi="Verdana" w:cs="Verdana"/>
          <w:i/>
          <w:iCs/>
          <w:sz w:val="18"/>
          <w:szCs w:val="18"/>
        </w:rPr>
      </w:pPr>
      <w:r w:rsidRPr="00801407">
        <w:rPr>
          <w:rFonts w:ascii="Verdana" w:eastAsia="Verdana" w:hAnsi="Verdana" w:cs="Verdana"/>
          <w:i/>
          <w:iCs/>
          <w:sz w:val="18"/>
          <w:szCs w:val="18"/>
        </w:rPr>
        <w:t xml:space="preserve">(…) </w:t>
      </w:r>
    </w:p>
    <w:p w14:paraId="6C3E9BE0" w14:textId="77777777" w:rsidR="00400D04" w:rsidRPr="00801407" w:rsidRDefault="00400D04" w:rsidP="00801407">
      <w:pPr>
        <w:pStyle w:val="Prrafodelista"/>
        <w:spacing w:after="0" w:line="240" w:lineRule="auto"/>
        <w:ind w:left="1134" w:right="616"/>
        <w:jc w:val="both"/>
        <w:rPr>
          <w:rFonts w:ascii="Verdana" w:eastAsia="Verdana" w:hAnsi="Verdana" w:cs="Verdana"/>
          <w:i/>
          <w:iCs/>
          <w:sz w:val="18"/>
          <w:szCs w:val="18"/>
        </w:rPr>
      </w:pPr>
    </w:p>
    <w:p w14:paraId="7AD0ECBF" w14:textId="34DDB69B" w:rsidR="00400D04" w:rsidRPr="00801407" w:rsidRDefault="00400D04" w:rsidP="00801407">
      <w:pPr>
        <w:pStyle w:val="Prrafodelista"/>
        <w:spacing w:after="0" w:line="240" w:lineRule="auto"/>
        <w:ind w:left="1134" w:right="616"/>
        <w:jc w:val="both"/>
        <w:rPr>
          <w:rFonts w:ascii="Verdana" w:eastAsia="Verdana" w:hAnsi="Verdana" w:cs="Verdana"/>
          <w:i/>
          <w:iCs/>
          <w:sz w:val="18"/>
          <w:szCs w:val="18"/>
        </w:rPr>
      </w:pPr>
      <w:r w:rsidRPr="00801407">
        <w:rPr>
          <w:rFonts w:ascii="Verdana" w:eastAsia="Verdana" w:hAnsi="Verdana" w:cs="Verdana"/>
          <w:i/>
          <w:iCs/>
          <w:sz w:val="18"/>
          <w:szCs w:val="18"/>
        </w:rPr>
        <w:t>4. Expedir los actos administrativos que le correspondan de acuerdo con la ley y decidir sobre los recursos legales que se interpongan contra los mismos; refrendar con su firma los actos del Presidente de la República que por disposiciones constitucionales o legales sean de su competencia. (…)”</w:t>
      </w:r>
    </w:p>
    <w:p w14:paraId="5E9D5F53" w14:textId="77777777" w:rsidR="00400D04" w:rsidRDefault="00400D04" w:rsidP="00801407">
      <w:pPr>
        <w:pStyle w:val="Prrafodelista"/>
        <w:spacing w:after="0" w:line="240" w:lineRule="auto"/>
        <w:ind w:right="49"/>
        <w:jc w:val="both"/>
        <w:rPr>
          <w:rFonts w:ascii="Verdana" w:eastAsia="Verdana" w:hAnsi="Verdana" w:cs="Verdana"/>
          <w:sz w:val="20"/>
          <w:szCs w:val="20"/>
        </w:rPr>
      </w:pPr>
    </w:p>
    <w:p w14:paraId="6ABC72F4" w14:textId="4B251664" w:rsidR="005A2659" w:rsidRPr="00801407" w:rsidRDefault="00400D04" w:rsidP="00400D04">
      <w:pPr>
        <w:pStyle w:val="Prrafodelista"/>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Sin embargo</w:t>
      </w:r>
      <w:r w:rsidR="003B0047" w:rsidRPr="00801407">
        <w:rPr>
          <w:rFonts w:ascii="Verdana" w:eastAsia="Verdana" w:hAnsi="Verdana" w:cs="Verdana"/>
          <w:sz w:val="20"/>
          <w:szCs w:val="20"/>
        </w:rPr>
        <w:t>,</w:t>
      </w:r>
      <w:r w:rsidRPr="00801407">
        <w:rPr>
          <w:rFonts w:ascii="Verdana" w:eastAsia="Verdana" w:hAnsi="Verdana" w:cs="Verdana"/>
          <w:sz w:val="20"/>
          <w:szCs w:val="20"/>
        </w:rPr>
        <w:t xml:space="preserve"> el Decreto 1904 de 2009, </w:t>
      </w:r>
      <w:r w:rsidR="0042376F" w:rsidRPr="00801407">
        <w:rPr>
          <w:rFonts w:ascii="Verdana" w:eastAsia="Verdana" w:hAnsi="Verdana" w:cs="Verdana"/>
          <w:sz w:val="20"/>
          <w:szCs w:val="20"/>
        </w:rPr>
        <w:t>fue derogado por el artículo 16 del Decreto 849 de 2016</w:t>
      </w:r>
      <w:r w:rsidRPr="00801407">
        <w:rPr>
          <w:rFonts w:ascii="Verdana" w:eastAsia="Verdana" w:hAnsi="Verdana" w:cs="Verdana"/>
          <w:sz w:val="20"/>
          <w:szCs w:val="20"/>
        </w:rPr>
        <w:t xml:space="preserve">, el cual a su vez fue derogado por el </w:t>
      </w:r>
      <w:r w:rsidR="004D4E45" w:rsidRPr="00801407">
        <w:rPr>
          <w:rFonts w:ascii="Verdana" w:eastAsia="Verdana" w:hAnsi="Verdana" w:cs="Verdana"/>
          <w:sz w:val="20"/>
          <w:szCs w:val="20"/>
        </w:rPr>
        <w:t>a</w:t>
      </w:r>
      <w:r w:rsidRPr="00801407">
        <w:rPr>
          <w:rFonts w:ascii="Verdana" w:eastAsia="Verdana" w:hAnsi="Verdana" w:cs="Verdana"/>
          <w:sz w:val="20"/>
          <w:szCs w:val="20"/>
        </w:rPr>
        <w:t>rt</w:t>
      </w:r>
      <w:r w:rsidR="004D4E45" w:rsidRPr="00801407">
        <w:rPr>
          <w:rFonts w:ascii="Verdana" w:eastAsia="Verdana" w:hAnsi="Verdana" w:cs="Verdana"/>
          <w:sz w:val="20"/>
          <w:szCs w:val="20"/>
        </w:rPr>
        <w:t>ículo</w:t>
      </w:r>
      <w:r w:rsidRPr="00801407">
        <w:rPr>
          <w:rFonts w:ascii="Verdana" w:eastAsia="Verdana" w:hAnsi="Verdana" w:cs="Verdana"/>
          <w:sz w:val="20"/>
          <w:szCs w:val="20"/>
        </w:rPr>
        <w:t xml:space="preserve"> 25 del Decreto 2226 de 2019</w:t>
      </w:r>
      <w:r w:rsidR="004D4E45" w:rsidRPr="00801407">
        <w:rPr>
          <w:rFonts w:ascii="Verdana" w:eastAsia="Verdana" w:hAnsi="Verdana" w:cs="Verdana"/>
          <w:sz w:val="20"/>
          <w:szCs w:val="20"/>
        </w:rPr>
        <w:t>, Decreto que</w:t>
      </w:r>
      <w:r w:rsidR="007B18CB" w:rsidRPr="00801407">
        <w:rPr>
          <w:rFonts w:ascii="Verdana" w:eastAsia="Verdana" w:hAnsi="Verdana" w:cs="Verdana"/>
          <w:sz w:val="20"/>
          <w:szCs w:val="20"/>
        </w:rPr>
        <w:t xml:space="preserve"> también</w:t>
      </w:r>
      <w:r w:rsidR="004D4E45" w:rsidRPr="00801407">
        <w:rPr>
          <w:rFonts w:ascii="Verdana" w:eastAsia="Verdana" w:hAnsi="Verdana" w:cs="Verdana"/>
          <w:sz w:val="20"/>
          <w:szCs w:val="20"/>
        </w:rPr>
        <w:t xml:space="preserve"> fue derogado por el Decreto 1449 de 2022</w:t>
      </w:r>
      <w:r w:rsidR="000A7B4E" w:rsidRPr="00801407">
        <w:rPr>
          <w:rFonts w:ascii="Verdana" w:eastAsia="Verdana" w:hAnsi="Verdana" w:cs="Verdana"/>
          <w:sz w:val="20"/>
          <w:szCs w:val="20"/>
        </w:rPr>
        <w:t xml:space="preserve"> “</w:t>
      </w:r>
      <w:r w:rsidR="000A7B4E" w:rsidRPr="00801407">
        <w:rPr>
          <w:rFonts w:ascii="Verdana" w:eastAsia="Verdana" w:hAnsi="Verdana" w:cs="Verdana"/>
          <w:i/>
          <w:iCs/>
          <w:sz w:val="20"/>
          <w:szCs w:val="20"/>
        </w:rPr>
        <w:t>Por el cual se adopta la estructura del Ministerio de Ciencia, Tecnología e Innovación y se dictan otras disposiciones.”</w:t>
      </w:r>
    </w:p>
    <w:p w14:paraId="63E1AFFF" w14:textId="77777777" w:rsidR="005A2659" w:rsidRPr="00801407" w:rsidRDefault="005A2659" w:rsidP="005A2659">
      <w:pPr>
        <w:pStyle w:val="Prrafodelista"/>
        <w:spacing w:after="0" w:line="240" w:lineRule="auto"/>
        <w:ind w:right="49"/>
        <w:jc w:val="both"/>
        <w:rPr>
          <w:rFonts w:ascii="Verdana" w:eastAsia="Verdana" w:hAnsi="Verdana" w:cs="Verdana"/>
          <w:sz w:val="20"/>
          <w:szCs w:val="20"/>
        </w:rPr>
      </w:pPr>
    </w:p>
    <w:p w14:paraId="27974FC4" w14:textId="6C571106" w:rsidR="003B0047" w:rsidRPr="00801407" w:rsidRDefault="005A2659" w:rsidP="005A2659">
      <w:pPr>
        <w:pStyle w:val="Prrafodelista"/>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 xml:space="preserve">- </w:t>
      </w:r>
      <w:r w:rsidR="003B0047" w:rsidRPr="00801407">
        <w:rPr>
          <w:rFonts w:ascii="Verdana" w:eastAsia="Verdana" w:hAnsi="Verdana" w:cs="Verdana"/>
          <w:sz w:val="20"/>
          <w:szCs w:val="20"/>
        </w:rPr>
        <w:t xml:space="preserve">El </w:t>
      </w:r>
      <w:r w:rsidRPr="00801407">
        <w:rPr>
          <w:rFonts w:ascii="Verdana" w:eastAsia="Verdana" w:hAnsi="Verdana" w:cs="Verdana"/>
          <w:sz w:val="20"/>
          <w:szCs w:val="20"/>
        </w:rPr>
        <w:t xml:space="preserve">Artículo 5 de la Ley 1286 de 2009, </w:t>
      </w:r>
      <w:r w:rsidR="003B0047" w:rsidRPr="00801407">
        <w:rPr>
          <w:rFonts w:ascii="Verdana" w:eastAsia="Verdana" w:hAnsi="Verdana" w:cs="Verdana"/>
          <w:sz w:val="20"/>
          <w:szCs w:val="20"/>
        </w:rPr>
        <w:t>que disponía, entre otros, lo siguiente:</w:t>
      </w:r>
    </w:p>
    <w:p w14:paraId="21B99B2F" w14:textId="77777777" w:rsidR="003B0047" w:rsidRDefault="003B0047" w:rsidP="005A2659">
      <w:pPr>
        <w:pStyle w:val="Prrafodelista"/>
        <w:spacing w:after="0" w:line="240" w:lineRule="auto"/>
        <w:ind w:right="49"/>
        <w:jc w:val="both"/>
        <w:rPr>
          <w:rFonts w:ascii="Verdana" w:eastAsia="Verdana" w:hAnsi="Verdana" w:cs="Verdana"/>
          <w:sz w:val="20"/>
          <w:szCs w:val="20"/>
        </w:rPr>
      </w:pPr>
    </w:p>
    <w:p w14:paraId="440583D5" w14:textId="7C6EF784" w:rsidR="003B0047" w:rsidRPr="00801407" w:rsidRDefault="003B0047" w:rsidP="00801407">
      <w:pPr>
        <w:pStyle w:val="Prrafodelista"/>
        <w:spacing w:after="0" w:line="240" w:lineRule="auto"/>
        <w:ind w:left="1134" w:right="616"/>
        <w:jc w:val="both"/>
        <w:rPr>
          <w:rFonts w:ascii="Verdana" w:eastAsia="Verdana" w:hAnsi="Verdana" w:cs="Verdana"/>
          <w:sz w:val="18"/>
          <w:szCs w:val="18"/>
        </w:rPr>
      </w:pPr>
      <w:r w:rsidRPr="00801407">
        <w:rPr>
          <w:rFonts w:ascii="Verdana" w:eastAsia="Verdana" w:hAnsi="Verdana" w:cs="Verdana"/>
          <w:i/>
          <w:iCs/>
          <w:sz w:val="18"/>
          <w:szCs w:val="18"/>
        </w:rPr>
        <w:t>“(…) Artículo 5°.Transformación. Transfórmese el Instituto Colombiano para el Desarrollo de la Ciencia y la Tecnología “Francisco José de Caldas” -Colciencias- en el Departamento Administrativo de Ciencia, Tecnología e Innovación -Colciencias-, con sede en Bogotá D.C., como organismo principal de la administración pública, rector del sector y del Sistema Nacional de Ciencia, Tecnología e Innovación -SNCTI-, encargado de formular, orientar, dirigir, coordinar, ejecutar e implementar la política del Estado en la materia, en concordancia con los planes y programas de desarrollo</w:t>
      </w:r>
      <w:r w:rsidRPr="00801407">
        <w:rPr>
          <w:rFonts w:ascii="Verdana" w:eastAsia="Verdana" w:hAnsi="Verdana" w:cs="Verdana"/>
          <w:sz w:val="18"/>
          <w:szCs w:val="18"/>
        </w:rPr>
        <w:t>. (…)”</w:t>
      </w:r>
    </w:p>
    <w:p w14:paraId="71B1A930" w14:textId="77777777" w:rsidR="003B0047" w:rsidRDefault="003B0047" w:rsidP="005A2659">
      <w:pPr>
        <w:pStyle w:val="Prrafodelista"/>
        <w:spacing w:after="0" w:line="240" w:lineRule="auto"/>
        <w:ind w:right="49"/>
        <w:jc w:val="both"/>
        <w:rPr>
          <w:rFonts w:ascii="Verdana" w:eastAsia="Verdana" w:hAnsi="Verdana" w:cs="Verdana"/>
          <w:sz w:val="20"/>
          <w:szCs w:val="20"/>
        </w:rPr>
      </w:pPr>
    </w:p>
    <w:p w14:paraId="1777D666" w14:textId="285E8E57" w:rsidR="005A2659" w:rsidRPr="00801407" w:rsidRDefault="003B0047" w:rsidP="005A2659">
      <w:pPr>
        <w:pStyle w:val="Prrafodelista"/>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 xml:space="preserve">No obstante lo anterior, dicha disposición fue </w:t>
      </w:r>
      <w:r w:rsidR="005A2659" w:rsidRPr="00801407">
        <w:rPr>
          <w:rFonts w:ascii="Verdana" w:eastAsia="Verdana" w:hAnsi="Verdana" w:cs="Verdana"/>
          <w:sz w:val="20"/>
          <w:szCs w:val="20"/>
        </w:rPr>
        <w:t>derogada por el artículo 22 de la Ley 2162 de 2021</w:t>
      </w:r>
      <w:r w:rsidR="000A7B4E" w:rsidRPr="00801407">
        <w:rPr>
          <w:rFonts w:ascii="Verdana" w:eastAsia="Verdana" w:hAnsi="Verdana" w:cs="Verdana"/>
          <w:sz w:val="20"/>
          <w:szCs w:val="20"/>
        </w:rPr>
        <w:t xml:space="preserve"> “</w:t>
      </w:r>
      <w:r w:rsidR="000A7B4E" w:rsidRPr="00801407">
        <w:rPr>
          <w:rFonts w:ascii="Verdana" w:eastAsia="Verdana" w:hAnsi="Verdana" w:cs="Verdana"/>
          <w:i/>
          <w:iCs/>
          <w:sz w:val="20"/>
          <w:szCs w:val="20"/>
        </w:rPr>
        <w:t xml:space="preserve">POR MEDIO DE LA CUAL SE CREA EL MINISTERIO DE CIENCIA, TECNOLOGÍA E INNOVACIÓN Y SE DICTAN OTRAS DISPOSICIONES”. </w:t>
      </w:r>
    </w:p>
    <w:p w14:paraId="06772492" w14:textId="77777777" w:rsidR="005A2659" w:rsidRPr="00801407" w:rsidRDefault="005A2659" w:rsidP="005A2659">
      <w:pPr>
        <w:pStyle w:val="Prrafodelista"/>
        <w:spacing w:after="0" w:line="240" w:lineRule="auto"/>
        <w:ind w:right="49"/>
        <w:jc w:val="both"/>
        <w:rPr>
          <w:rFonts w:ascii="Verdana" w:eastAsia="Verdana" w:hAnsi="Verdana" w:cs="Verdana"/>
          <w:sz w:val="20"/>
          <w:szCs w:val="20"/>
        </w:rPr>
      </w:pPr>
    </w:p>
    <w:p w14:paraId="6040E97D" w14:textId="70667F49" w:rsidR="002B771B" w:rsidRPr="00801407" w:rsidRDefault="005A2659" w:rsidP="005A2659">
      <w:pPr>
        <w:pStyle w:val="Prrafodelista"/>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w:t>
      </w:r>
      <w:r w:rsidR="002B771B" w:rsidRPr="00801407">
        <w:rPr>
          <w:rFonts w:ascii="Verdana" w:eastAsia="Verdana" w:hAnsi="Verdana" w:cs="Verdana"/>
          <w:sz w:val="20"/>
          <w:szCs w:val="20"/>
        </w:rPr>
        <w:t xml:space="preserve">El </w:t>
      </w:r>
      <w:r w:rsidRPr="00801407">
        <w:rPr>
          <w:rFonts w:ascii="Verdana" w:eastAsia="Verdana" w:hAnsi="Verdana" w:cs="Verdana"/>
          <w:sz w:val="20"/>
          <w:szCs w:val="20"/>
        </w:rPr>
        <w:t>Artículo 7 de la Ley 1753 de 2015,</w:t>
      </w:r>
      <w:r w:rsidR="007B18CB" w:rsidRPr="00801407">
        <w:rPr>
          <w:rFonts w:ascii="Verdana" w:eastAsia="Verdana" w:hAnsi="Verdana" w:cs="Verdana"/>
          <w:sz w:val="20"/>
          <w:szCs w:val="20"/>
        </w:rPr>
        <w:t xml:space="preserve"> disponía: </w:t>
      </w:r>
      <w:r w:rsidRPr="00801407">
        <w:rPr>
          <w:rFonts w:ascii="Verdana" w:eastAsia="Verdana" w:hAnsi="Verdana" w:cs="Verdana"/>
          <w:sz w:val="20"/>
          <w:szCs w:val="20"/>
        </w:rPr>
        <w:t xml:space="preserve"> </w:t>
      </w:r>
    </w:p>
    <w:p w14:paraId="3193E7E2" w14:textId="77777777" w:rsidR="002B771B" w:rsidRDefault="002B771B" w:rsidP="005A2659">
      <w:pPr>
        <w:pStyle w:val="Prrafodelista"/>
        <w:spacing w:after="0" w:line="240" w:lineRule="auto"/>
        <w:ind w:right="49"/>
        <w:jc w:val="both"/>
        <w:rPr>
          <w:rFonts w:ascii="Verdana" w:eastAsia="Verdana" w:hAnsi="Verdana" w:cs="Verdana"/>
        </w:rPr>
      </w:pPr>
    </w:p>
    <w:p w14:paraId="0D4D8C3B" w14:textId="257071B6" w:rsidR="002B771B" w:rsidRPr="00801407" w:rsidRDefault="007B18CB" w:rsidP="00801407">
      <w:pPr>
        <w:pStyle w:val="Prrafodelista"/>
        <w:spacing w:after="0" w:line="240" w:lineRule="auto"/>
        <w:ind w:left="1134" w:right="425"/>
        <w:jc w:val="both"/>
        <w:rPr>
          <w:rFonts w:ascii="Verdana" w:eastAsia="Verdana" w:hAnsi="Verdana" w:cs="Verdana"/>
          <w:i/>
          <w:iCs/>
          <w:sz w:val="18"/>
          <w:szCs w:val="18"/>
        </w:rPr>
      </w:pPr>
      <w:r w:rsidRPr="00801407">
        <w:rPr>
          <w:rFonts w:ascii="Verdana" w:eastAsia="Verdana" w:hAnsi="Verdana" w:cs="Verdana"/>
          <w:i/>
          <w:iCs/>
          <w:sz w:val="18"/>
          <w:szCs w:val="18"/>
        </w:rPr>
        <w:t xml:space="preserve">“(…) </w:t>
      </w:r>
      <w:r w:rsidR="002B771B" w:rsidRPr="00801407">
        <w:rPr>
          <w:rFonts w:ascii="Verdana" w:eastAsia="Verdana" w:hAnsi="Verdana" w:cs="Verdana"/>
          <w:i/>
          <w:iCs/>
          <w:sz w:val="18"/>
          <w:szCs w:val="18"/>
        </w:rPr>
        <w:t>ARTÍCULO 7°. Acuerdos estratégicos de Ciencia, Tecnología e Innovación. Colciencias, en coordinación con el Departamento Nacional de Planeación, los departamentos y el Distrito Capital, estructurarán planes y acuerdos estratégicos departamentales en Ciencia, Tecnología e Innovación, a los cuales se ajustarán los proyectos que se presentarán al Órgano Colegiado de Administración y Decisión del Fondo de Ciencia, Tecnología e Innovación del Sistema General de Regalías.</w:t>
      </w:r>
    </w:p>
    <w:p w14:paraId="7309779E" w14:textId="77777777" w:rsidR="002B771B" w:rsidRPr="00801407" w:rsidRDefault="002B771B" w:rsidP="00801407">
      <w:pPr>
        <w:pStyle w:val="Prrafodelista"/>
        <w:spacing w:after="0" w:line="240" w:lineRule="auto"/>
        <w:ind w:left="1134" w:right="425"/>
        <w:jc w:val="both"/>
        <w:rPr>
          <w:rFonts w:ascii="Verdana" w:eastAsia="Verdana" w:hAnsi="Verdana" w:cs="Verdana"/>
          <w:i/>
          <w:iCs/>
          <w:sz w:val="18"/>
          <w:szCs w:val="18"/>
        </w:rPr>
      </w:pPr>
    </w:p>
    <w:p w14:paraId="1F88EAF7" w14:textId="109188A4" w:rsidR="002B771B" w:rsidRPr="00801407" w:rsidRDefault="002B771B" w:rsidP="00801407">
      <w:pPr>
        <w:pStyle w:val="Prrafodelista"/>
        <w:spacing w:after="0" w:line="240" w:lineRule="auto"/>
        <w:ind w:left="1134" w:right="425"/>
        <w:jc w:val="both"/>
        <w:rPr>
          <w:rFonts w:ascii="Verdana" w:eastAsia="Verdana" w:hAnsi="Verdana" w:cs="Verdana"/>
          <w:i/>
          <w:iCs/>
          <w:sz w:val="18"/>
          <w:szCs w:val="18"/>
        </w:rPr>
      </w:pPr>
      <w:r w:rsidRPr="00801407">
        <w:rPr>
          <w:rFonts w:ascii="Verdana" w:eastAsia="Verdana" w:hAnsi="Verdana" w:cs="Verdana"/>
          <w:i/>
          <w:iCs/>
          <w:sz w:val="18"/>
          <w:szCs w:val="18"/>
        </w:rPr>
        <w:t>Para efectos de lo previsto en el presente artículo se podrá contar con la participación de los demás actores del Sistema de Competitividad, Ciencia, Tecnología e Innovación.</w:t>
      </w:r>
      <w:r w:rsidR="007B18CB" w:rsidRPr="00801407">
        <w:rPr>
          <w:rFonts w:ascii="Verdana" w:eastAsia="Verdana" w:hAnsi="Verdana" w:cs="Verdana"/>
          <w:i/>
          <w:iCs/>
          <w:sz w:val="18"/>
          <w:szCs w:val="18"/>
        </w:rPr>
        <w:t xml:space="preserve"> (…)”</w:t>
      </w:r>
    </w:p>
    <w:p w14:paraId="5A1D859F" w14:textId="77777777" w:rsidR="002B771B" w:rsidRDefault="002B771B" w:rsidP="005A2659">
      <w:pPr>
        <w:pStyle w:val="Prrafodelista"/>
        <w:spacing w:after="0" w:line="240" w:lineRule="auto"/>
        <w:ind w:right="49"/>
        <w:jc w:val="both"/>
        <w:rPr>
          <w:rFonts w:ascii="Verdana" w:eastAsia="Verdana" w:hAnsi="Verdana" w:cs="Verdana"/>
        </w:rPr>
      </w:pPr>
    </w:p>
    <w:p w14:paraId="791E5248" w14:textId="5B7C70B3" w:rsidR="005A2659" w:rsidRPr="00801407" w:rsidRDefault="002B771B" w:rsidP="00801407">
      <w:pPr>
        <w:pStyle w:val="Prrafodelista"/>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 xml:space="preserve">Este artículo fue derogado por la Ley 1955 de 2019 </w:t>
      </w:r>
      <w:r w:rsidRPr="00801407">
        <w:rPr>
          <w:rFonts w:ascii="Verdana" w:eastAsia="Verdana" w:hAnsi="Verdana" w:cs="Verdana"/>
          <w:i/>
          <w:iCs/>
          <w:sz w:val="20"/>
          <w:szCs w:val="20"/>
        </w:rPr>
        <w:t>“Por el cual se expide el Plan Nacional de Desarrollo 2018-2022”.</w:t>
      </w:r>
    </w:p>
    <w:p w14:paraId="6991D5B7" w14:textId="77777777" w:rsidR="00D61EC9" w:rsidRPr="00801407" w:rsidRDefault="00D61EC9" w:rsidP="00801407">
      <w:pPr>
        <w:spacing w:after="0" w:line="240" w:lineRule="auto"/>
        <w:ind w:left="360" w:right="49"/>
        <w:jc w:val="both"/>
        <w:rPr>
          <w:rFonts w:ascii="Verdana" w:eastAsia="Verdana" w:hAnsi="Verdana" w:cs="Verdana"/>
          <w:sz w:val="20"/>
          <w:szCs w:val="20"/>
        </w:rPr>
      </w:pPr>
    </w:p>
    <w:p w14:paraId="7EA72DF1" w14:textId="76B482EB" w:rsidR="00D61EC9" w:rsidRPr="00801407" w:rsidRDefault="00D10D1A">
      <w:pPr>
        <w:pStyle w:val="Prrafodelista"/>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 xml:space="preserve">De lo anterior, se puede advertir que dichos fundamentos normativos ya desaparecieron del ordenamiento jurídico, </w:t>
      </w:r>
      <w:r w:rsidR="003D3934" w:rsidRPr="00801407">
        <w:rPr>
          <w:rFonts w:ascii="Verdana" w:eastAsia="Verdana" w:hAnsi="Verdana" w:cs="Verdana"/>
          <w:sz w:val="20"/>
          <w:szCs w:val="20"/>
        </w:rPr>
        <w:t>y,</w:t>
      </w:r>
      <w:r w:rsidRPr="00801407">
        <w:rPr>
          <w:rFonts w:ascii="Verdana" w:eastAsia="Verdana" w:hAnsi="Verdana" w:cs="Verdana"/>
          <w:sz w:val="20"/>
          <w:szCs w:val="20"/>
        </w:rPr>
        <w:t xml:space="preserve"> por lo tanto</w:t>
      </w:r>
      <w:r w:rsidR="00AA0704" w:rsidRPr="00801407">
        <w:rPr>
          <w:rFonts w:ascii="Verdana" w:eastAsia="Verdana" w:hAnsi="Verdana" w:cs="Verdana"/>
          <w:sz w:val="20"/>
          <w:szCs w:val="20"/>
        </w:rPr>
        <w:t>, la Resolución 0445 de 2015</w:t>
      </w:r>
      <w:r w:rsidR="00F312AD" w:rsidRPr="00801407">
        <w:rPr>
          <w:rFonts w:ascii="Verdana" w:eastAsia="Verdana" w:hAnsi="Verdana" w:cs="Verdana"/>
          <w:sz w:val="20"/>
          <w:szCs w:val="20"/>
        </w:rPr>
        <w:t xml:space="preserve"> carece actualmente de objeto. </w:t>
      </w:r>
    </w:p>
    <w:p w14:paraId="4AC82539" w14:textId="77777777" w:rsidR="003D3934" w:rsidRPr="00801407" w:rsidRDefault="003D3934" w:rsidP="00801407">
      <w:pPr>
        <w:spacing w:after="0" w:line="240" w:lineRule="auto"/>
        <w:ind w:right="49"/>
        <w:jc w:val="both"/>
        <w:rPr>
          <w:rFonts w:ascii="Verdana" w:eastAsia="Verdana" w:hAnsi="Verdana" w:cs="Verdana"/>
          <w:sz w:val="18"/>
          <w:szCs w:val="18"/>
        </w:rPr>
      </w:pPr>
    </w:p>
    <w:p w14:paraId="0C9DBE0F" w14:textId="07E67D89" w:rsidR="001B448B" w:rsidRPr="00801407" w:rsidRDefault="001B448B">
      <w:pPr>
        <w:pStyle w:val="Prrafodelista"/>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 xml:space="preserve">De </w:t>
      </w:r>
      <w:r w:rsidR="008F1AC9" w:rsidRPr="00801407">
        <w:rPr>
          <w:rFonts w:ascii="Verdana" w:eastAsia="Verdana" w:hAnsi="Verdana" w:cs="Verdana"/>
          <w:sz w:val="20"/>
          <w:szCs w:val="20"/>
        </w:rPr>
        <w:t>lo anterior</w:t>
      </w:r>
      <w:r w:rsidRPr="00801407">
        <w:rPr>
          <w:rFonts w:ascii="Verdana" w:eastAsia="Verdana" w:hAnsi="Verdana" w:cs="Verdana"/>
          <w:sz w:val="20"/>
          <w:szCs w:val="20"/>
        </w:rPr>
        <w:t>, resulta evidente que las disposiciones normativas que sirvieron de fundamento para la expedición de la Resolución 445 de 2015, han sido objeto de derogatoria expresa</w:t>
      </w:r>
      <w:r w:rsidR="008F1AC9" w:rsidRPr="00801407">
        <w:rPr>
          <w:rFonts w:ascii="Verdana" w:eastAsia="Verdana" w:hAnsi="Verdana" w:cs="Verdana"/>
          <w:sz w:val="20"/>
          <w:szCs w:val="20"/>
        </w:rPr>
        <w:t xml:space="preserve">, lo cual conlleva a que dicha Resolución carezca actualmente de objeto. </w:t>
      </w:r>
    </w:p>
    <w:p w14:paraId="14964A71" w14:textId="77777777" w:rsidR="001B448B" w:rsidRPr="00801407" w:rsidRDefault="001B448B">
      <w:pPr>
        <w:pStyle w:val="Prrafodelista"/>
        <w:spacing w:after="0" w:line="240" w:lineRule="auto"/>
        <w:ind w:right="49"/>
        <w:jc w:val="both"/>
        <w:rPr>
          <w:rFonts w:ascii="Verdana" w:eastAsia="Verdana" w:hAnsi="Verdana" w:cs="Verdana"/>
          <w:sz w:val="20"/>
          <w:szCs w:val="20"/>
        </w:rPr>
      </w:pPr>
    </w:p>
    <w:p w14:paraId="6CDCAED2" w14:textId="28DD39E3" w:rsidR="00930F59" w:rsidRPr="00801407" w:rsidRDefault="00D53D16">
      <w:pPr>
        <w:pStyle w:val="Prrafodelista"/>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Ahora bien,</w:t>
      </w:r>
      <w:r w:rsidR="00930F59" w:rsidRPr="00801407">
        <w:rPr>
          <w:rFonts w:ascii="Verdana" w:eastAsia="Verdana" w:hAnsi="Verdana" w:cs="Verdana"/>
          <w:sz w:val="20"/>
          <w:szCs w:val="20"/>
        </w:rPr>
        <w:t xml:space="preserve"> </w:t>
      </w:r>
      <w:r w:rsidR="00F00E96">
        <w:rPr>
          <w:rFonts w:ascii="Verdana" w:eastAsia="Verdana" w:hAnsi="Verdana" w:cs="Verdana"/>
          <w:sz w:val="20"/>
          <w:szCs w:val="20"/>
        </w:rPr>
        <w:t xml:space="preserve">con el fin de validar que los asuntos tratados en la Resolución 0445 de 2015, se observa que </w:t>
      </w:r>
      <w:r w:rsidR="00930F59" w:rsidRPr="00801407">
        <w:rPr>
          <w:rFonts w:ascii="Verdana" w:eastAsia="Verdana" w:hAnsi="Verdana" w:cs="Verdana"/>
          <w:sz w:val="20"/>
          <w:szCs w:val="20"/>
        </w:rPr>
        <w:t xml:space="preserve">de manera posterior a </w:t>
      </w:r>
      <w:r w:rsidR="00C736F3">
        <w:rPr>
          <w:rFonts w:ascii="Verdana" w:eastAsia="Verdana" w:hAnsi="Verdana" w:cs="Verdana"/>
          <w:sz w:val="20"/>
          <w:szCs w:val="20"/>
        </w:rPr>
        <w:t>la</w:t>
      </w:r>
      <w:r w:rsidR="00930F59" w:rsidRPr="00801407">
        <w:rPr>
          <w:rFonts w:ascii="Verdana" w:eastAsia="Verdana" w:hAnsi="Verdana" w:cs="Verdana"/>
          <w:sz w:val="20"/>
          <w:szCs w:val="20"/>
        </w:rPr>
        <w:t xml:space="preserve"> normatividad</w:t>
      </w:r>
      <w:r w:rsidR="00C736F3">
        <w:rPr>
          <w:rFonts w:ascii="Verdana" w:eastAsia="Verdana" w:hAnsi="Verdana" w:cs="Verdana"/>
          <w:sz w:val="20"/>
          <w:szCs w:val="20"/>
        </w:rPr>
        <w:t xml:space="preserve"> relacionada anteriormente,</w:t>
      </w:r>
      <w:r w:rsidR="00930F59" w:rsidRPr="00801407">
        <w:rPr>
          <w:rFonts w:ascii="Verdana" w:eastAsia="Verdana" w:hAnsi="Verdana" w:cs="Verdana"/>
          <w:sz w:val="20"/>
          <w:szCs w:val="20"/>
        </w:rPr>
        <w:t xml:space="preserve"> se han expedido diferentes disposiciones normativas que han reglamentado el funcionamiento del Sistema General de Regalías, así: </w:t>
      </w:r>
    </w:p>
    <w:p w14:paraId="7D0C9458" w14:textId="77777777" w:rsidR="00930F59" w:rsidRPr="00801407" w:rsidRDefault="00930F59">
      <w:pPr>
        <w:pStyle w:val="Prrafodelista"/>
        <w:spacing w:after="0" w:line="240" w:lineRule="auto"/>
        <w:ind w:right="49"/>
        <w:jc w:val="both"/>
        <w:rPr>
          <w:rFonts w:ascii="Verdana" w:eastAsia="Verdana" w:hAnsi="Verdana" w:cs="Verdana"/>
          <w:sz w:val="20"/>
          <w:szCs w:val="20"/>
        </w:rPr>
      </w:pPr>
    </w:p>
    <w:p w14:paraId="3717EC4C" w14:textId="1EC906C6" w:rsidR="003D3934" w:rsidRPr="00801407" w:rsidRDefault="00930F59" w:rsidP="00BC1E4E">
      <w:pPr>
        <w:pStyle w:val="Prrafodelista"/>
        <w:numPr>
          <w:ilvl w:val="0"/>
          <w:numId w:val="2"/>
        </w:numPr>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L</w:t>
      </w:r>
      <w:r w:rsidR="00B509AA" w:rsidRPr="00801407">
        <w:rPr>
          <w:rFonts w:ascii="Verdana" w:eastAsia="Verdana" w:hAnsi="Verdana" w:cs="Verdana"/>
          <w:sz w:val="20"/>
          <w:szCs w:val="20"/>
        </w:rPr>
        <w:t xml:space="preserve">a Ley 2056 de 2020 </w:t>
      </w:r>
      <w:r w:rsidR="00B509AA" w:rsidRPr="00801407">
        <w:rPr>
          <w:rFonts w:ascii="Verdana" w:eastAsia="Verdana" w:hAnsi="Verdana" w:cs="Verdana"/>
          <w:i/>
          <w:iCs/>
          <w:sz w:val="20"/>
          <w:szCs w:val="20"/>
        </w:rPr>
        <w:t>“Por la cual se regula la organización y el funcionamiento del Sistema General de Regalías”</w:t>
      </w:r>
      <w:r w:rsidR="00B509AA" w:rsidRPr="00801407">
        <w:rPr>
          <w:rFonts w:ascii="Verdana" w:eastAsia="Verdana" w:hAnsi="Verdana" w:cs="Verdana"/>
          <w:sz w:val="20"/>
          <w:szCs w:val="20"/>
        </w:rPr>
        <w:t>, dispuso en su</w:t>
      </w:r>
      <w:r w:rsidR="00B1411E" w:rsidRPr="00801407">
        <w:rPr>
          <w:rFonts w:ascii="Verdana" w:eastAsia="Verdana" w:hAnsi="Verdana" w:cs="Verdana"/>
          <w:sz w:val="20"/>
          <w:szCs w:val="20"/>
        </w:rPr>
        <w:t>s</w:t>
      </w:r>
      <w:r w:rsidR="00B509AA" w:rsidRPr="00801407">
        <w:rPr>
          <w:rFonts w:ascii="Verdana" w:eastAsia="Verdana" w:hAnsi="Verdana" w:cs="Verdana"/>
          <w:sz w:val="20"/>
          <w:szCs w:val="20"/>
        </w:rPr>
        <w:t xml:space="preserve"> artículo</w:t>
      </w:r>
      <w:r w:rsidR="00B1411E" w:rsidRPr="00801407">
        <w:rPr>
          <w:rFonts w:ascii="Verdana" w:eastAsia="Verdana" w:hAnsi="Verdana" w:cs="Verdana"/>
          <w:sz w:val="20"/>
          <w:szCs w:val="20"/>
        </w:rPr>
        <w:t>s</w:t>
      </w:r>
      <w:r w:rsidR="00B509AA" w:rsidRPr="00801407">
        <w:rPr>
          <w:rFonts w:ascii="Verdana" w:eastAsia="Verdana" w:hAnsi="Verdana" w:cs="Verdana"/>
          <w:sz w:val="20"/>
          <w:szCs w:val="20"/>
        </w:rPr>
        <w:t xml:space="preserve"> 1</w:t>
      </w:r>
      <w:r w:rsidR="00B1411E" w:rsidRPr="00801407">
        <w:rPr>
          <w:rFonts w:ascii="Verdana" w:eastAsia="Verdana" w:hAnsi="Verdana" w:cs="Verdana"/>
          <w:sz w:val="20"/>
          <w:szCs w:val="20"/>
        </w:rPr>
        <w:t xml:space="preserve"> y 3, lo siguiente</w:t>
      </w:r>
      <w:r w:rsidR="00B509AA" w:rsidRPr="00801407">
        <w:rPr>
          <w:rFonts w:ascii="Verdana" w:eastAsia="Verdana" w:hAnsi="Verdana" w:cs="Verdana"/>
          <w:sz w:val="20"/>
          <w:szCs w:val="20"/>
        </w:rPr>
        <w:t xml:space="preserve">: </w:t>
      </w:r>
    </w:p>
    <w:p w14:paraId="22B5B76B" w14:textId="77777777" w:rsidR="00B509AA" w:rsidRDefault="00B509AA">
      <w:pPr>
        <w:pStyle w:val="Prrafodelista"/>
        <w:spacing w:after="0" w:line="240" w:lineRule="auto"/>
        <w:ind w:right="49"/>
        <w:jc w:val="both"/>
        <w:rPr>
          <w:rFonts w:ascii="Verdana" w:eastAsia="Verdana" w:hAnsi="Verdana" w:cs="Verdana"/>
          <w:sz w:val="20"/>
          <w:szCs w:val="20"/>
        </w:rPr>
      </w:pPr>
    </w:p>
    <w:p w14:paraId="5DDDF7B4" w14:textId="232671A1" w:rsidR="00B1411E" w:rsidRPr="00801407" w:rsidRDefault="00B509AA" w:rsidP="00B509AA">
      <w:pPr>
        <w:pStyle w:val="Prrafodelista"/>
        <w:tabs>
          <w:tab w:val="left" w:pos="8789"/>
        </w:tabs>
        <w:spacing w:after="0" w:line="240" w:lineRule="auto"/>
        <w:ind w:left="1134" w:right="708"/>
        <w:jc w:val="both"/>
        <w:rPr>
          <w:rFonts w:ascii="Verdana" w:eastAsia="Verdana" w:hAnsi="Verdana" w:cs="Verdana"/>
          <w:i/>
          <w:iCs/>
          <w:sz w:val="18"/>
          <w:szCs w:val="18"/>
        </w:rPr>
      </w:pPr>
      <w:r w:rsidRPr="00801407">
        <w:rPr>
          <w:rFonts w:ascii="Verdana" w:eastAsia="Verdana" w:hAnsi="Verdana" w:cs="Verdana"/>
          <w:i/>
          <w:iCs/>
          <w:sz w:val="18"/>
          <w:szCs w:val="18"/>
        </w:rPr>
        <w:t>“(…)</w:t>
      </w:r>
      <w:r w:rsidR="00B1411E" w:rsidRPr="00801407">
        <w:rPr>
          <w:rFonts w:ascii="Verdana" w:eastAsia="Verdana" w:hAnsi="Verdana" w:cs="Verdana"/>
          <w:i/>
          <w:iCs/>
          <w:sz w:val="18"/>
          <w:szCs w:val="18"/>
        </w:rPr>
        <w:t xml:space="preserve"> </w:t>
      </w:r>
      <w:r w:rsidR="00B1411E" w:rsidRPr="00801407">
        <w:rPr>
          <w:rFonts w:ascii="Verdana" w:eastAsia="Verdana" w:hAnsi="Verdana" w:cs="Verdana"/>
          <w:b/>
          <w:bCs/>
          <w:i/>
          <w:iCs/>
          <w:sz w:val="18"/>
          <w:szCs w:val="18"/>
        </w:rPr>
        <w:t>ARTÍCULO 1. Objeto.</w:t>
      </w:r>
      <w:r w:rsidR="00B1411E" w:rsidRPr="00801407">
        <w:rPr>
          <w:rFonts w:ascii="Verdana" w:eastAsia="Verdana" w:hAnsi="Verdana" w:cs="Verdana"/>
          <w:i/>
          <w:iCs/>
          <w:sz w:val="18"/>
          <w:szCs w:val="18"/>
        </w:rPr>
        <w:t xml:space="preserve"> </w:t>
      </w:r>
      <w:r w:rsidRPr="00801407">
        <w:rPr>
          <w:rFonts w:ascii="Verdana" w:eastAsia="Verdana" w:hAnsi="Verdana" w:cs="Verdana"/>
          <w:i/>
          <w:iCs/>
          <w:sz w:val="18"/>
          <w:szCs w:val="18"/>
        </w:rPr>
        <w:t xml:space="preserve"> Conforme con lo dispuesto por el artículo 360 y 361 de la Constitución Política, la presente ley tiene por objeto determinar la distribución, objetivos, fines, administración, ejecución, control, el uso eficiente y la destinación de los ingresos provenientes de la explotación de los recursos naturales no renovables precisando las condiciones de participación de sus beneficiarios. Este conjunto de ingresos, asignaciones, órganos, procedimientos y regulaciones constituye el Sistema General de Regalías. </w:t>
      </w:r>
    </w:p>
    <w:p w14:paraId="4F09F3B0" w14:textId="77777777" w:rsidR="00B1411E" w:rsidRPr="00801407" w:rsidRDefault="00B1411E" w:rsidP="00B509AA">
      <w:pPr>
        <w:pStyle w:val="Prrafodelista"/>
        <w:tabs>
          <w:tab w:val="left" w:pos="8789"/>
        </w:tabs>
        <w:spacing w:after="0" w:line="240" w:lineRule="auto"/>
        <w:ind w:left="1134" w:right="708"/>
        <w:jc w:val="both"/>
        <w:rPr>
          <w:rFonts w:ascii="Verdana" w:eastAsia="Verdana" w:hAnsi="Verdana" w:cs="Verdana"/>
          <w:i/>
          <w:iCs/>
          <w:sz w:val="18"/>
          <w:szCs w:val="18"/>
        </w:rPr>
      </w:pPr>
    </w:p>
    <w:p w14:paraId="31186E2F" w14:textId="761EE56A" w:rsidR="00B509AA" w:rsidRPr="00801407" w:rsidRDefault="00B1411E" w:rsidP="00801407">
      <w:pPr>
        <w:pStyle w:val="Prrafodelista"/>
        <w:tabs>
          <w:tab w:val="left" w:pos="8789"/>
        </w:tabs>
        <w:spacing w:after="0" w:line="240" w:lineRule="auto"/>
        <w:ind w:left="1134" w:right="708"/>
        <w:jc w:val="both"/>
        <w:rPr>
          <w:rFonts w:ascii="Verdana" w:eastAsia="Verdana" w:hAnsi="Verdana" w:cs="Verdana"/>
          <w:sz w:val="18"/>
          <w:szCs w:val="18"/>
        </w:rPr>
      </w:pPr>
      <w:r w:rsidRPr="00801407">
        <w:rPr>
          <w:rFonts w:ascii="Verdana" w:eastAsia="Verdana" w:hAnsi="Verdana" w:cs="Verdana"/>
          <w:b/>
          <w:bCs/>
          <w:i/>
          <w:iCs/>
          <w:sz w:val="18"/>
          <w:szCs w:val="18"/>
        </w:rPr>
        <w:t>ARTÍCULO 3.</w:t>
      </w:r>
      <w:r w:rsidRPr="00801407">
        <w:rPr>
          <w:rFonts w:ascii="Verdana" w:eastAsia="Verdana" w:hAnsi="Verdana" w:cs="Verdana"/>
          <w:i/>
          <w:iCs/>
          <w:sz w:val="18"/>
          <w:szCs w:val="18"/>
        </w:rPr>
        <w:t xml:space="preserve"> Órganos. </w:t>
      </w:r>
      <w:r w:rsidRPr="00801407">
        <w:rPr>
          <w:rFonts w:ascii="Verdana" w:eastAsia="Verdana" w:hAnsi="Verdana" w:cs="Verdana"/>
          <w:b/>
          <w:bCs/>
          <w:i/>
          <w:iCs/>
          <w:sz w:val="18"/>
          <w:szCs w:val="18"/>
          <w:u w:val="single"/>
        </w:rPr>
        <w:t>Son órganos del Sistema General de Regalías</w:t>
      </w:r>
      <w:r w:rsidRPr="00801407">
        <w:rPr>
          <w:rFonts w:ascii="Verdana" w:eastAsia="Verdana" w:hAnsi="Verdana" w:cs="Verdana"/>
          <w:i/>
          <w:iCs/>
          <w:sz w:val="18"/>
          <w:szCs w:val="18"/>
        </w:rPr>
        <w:t xml:space="preserve">, la Comisión Rectora, el Departamento Nacional de Planeación, el Ministerio de Minas y Energía, así como sus entidades adscritas y vinculadas que cumplan funciones en el ciclo de las regalías, el Ministerio de Hacienda y Crédito Público, </w:t>
      </w:r>
      <w:r w:rsidRPr="00801407">
        <w:rPr>
          <w:rFonts w:ascii="Verdana" w:eastAsia="Verdana" w:hAnsi="Verdana" w:cs="Verdana"/>
          <w:b/>
          <w:bCs/>
          <w:i/>
          <w:iCs/>
          <w:sz w:val="18"/>
          <w:szCs w:val="18"/>
          <w:u w:val="single"/>
        </w:rPr>
        <w:t>el Ministerio de Ciencia, Tecnología e Innovación</w:t>
      </w:r>
      <w:r w:rsidRPr="00801407">
        <w:rPr>
          <w:rFonts w:ascii="Verdana" w:eastAsia="Verdana" w:hAnsi="Verdana" w:cs="Verdana"/>
          <w:i/>
          <w:iCs/>
          <w:sz w:val="18"/>
          <w:szCs w:val="18"/>
        </w:rPr>
        <w:t>, el Ministerio de Ambiente y Desarrollo Sostenible y los Órganos Colegiados de Administración y Decisión Paz, de Inversión Regional y de Ciencia, Tecnología e Innovación, los cuales ejercerán sus atribuciones y competencias conforme con lo dispuesto por la presente Ley y demás lineamientos que expida la Comisión Rectora para el funcionamiento del Sistema General de Regalías.</w:t>
      </w:r>
      <w:r w:rsidR="00B509AA" w:rsidRPr="00801407">
        <w:rPr>
          <w:rFonts w:ascii="Verdana" w:eastAsia="Verdana" w:hAnsi="Verdana" w:cs="Verdana"/>
          <w:i/>
          <w:iCs/>
          <w:sz w:val="18"/>
          <w:szCs w:val="18"/>
        </w:rPr>
        <w:t>(…)”</w:t>
      </w:r>
      <w:r w:rsidR="00930F59" w:rsidRPr="00801407">
        <w:rPr>
          <w:rFonts w:ascii="Verdana" w:eastAsia="Verdana" w:hAnsi="Verdana" w:cs="Verdana"/>
          <w:i/>
          <w:iCs/>
          <w:sz w:val="18"/>
          <w:szCs w:val="18"/>
        </w:rPr>
        <w:t xml:space="preserve"> </w:t>
      </w:r>
      <w:r w:rsidR="00930F59" w:rsidRPr="00801407">
        <w:rPr>
          <w:rFonts w:ascii="Verdana" w:eastAsia="Verdana" w:hAnsi="Verdana" w:cs="Verdana"/>
          <w:sz w:val="18"/>
          <w:szCs w:val="18"/>
        </w:rPr>
        <w:t>(Negrillas con subrayas fuera del texto original)</w:t>
      </w:r>
    </w:p>
    <w:p w14:paraId="1B775BA0" w14:textId="77777777" w:rsidR="00B509AA" w:rsidRDefault="00B509AA" w:rsidP="00801407">
      <w:pPr>
        <w:pStyle w:val="Prrafodelista"/>
        <w:spacing w:after="0" w:line="240" w:lineRule="auto"/>
        <w:ind w:right="49"/>
        <w:jc w:val="both"/>
        <w:rPr>
          <w:rFonts w:ascii="Verdana" w:eastAsia="Verdana" w:hAnsi="Verdana" w:cs="Verdana"/>
          <w:sz w:val="20"/>
          <w:szCs w:val="20"/>
        </w:rPr>
      </w:pPr>
    </w:p>
    <w:p w14:paraId="33643945" w14:textId="7CBEE727" w:rsidR="00B509AA" w:rsidRPr="00801407" w:rsidRDefault="00B509AA" w:rsidP="00BC1E4E">
      <w:pPr>
        <w:pStyle w:val="Prrafodelista"/>
        <w:numPr>
          <w:ilvl w:val="0"/>
          <w:numId w:val="2"/>
        </w:numPr>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Así mismo, en el artículo 10 de la citada Ley</w:t>
      </w:r>
      <w:r w:rsidR="00CD1C57" w:rsidRPr="00801407">
        <w:rPr>
          <w:rFonts w:ascii="Verdana" w:eastAsia="Verdana" w:hAnsi="Verdana" w:cs="Verdana"/>
          <w:sz w:val="20"/>
          <w:szCs w:val="20"/>
        </w:rPr>
        <w:t xml:space="preserve"> se establecen</w:t>
      </w:r>
      <w:r w:rsidR="00FC3D9D" w:rsidRPr="00801407">
        <w:rPr>
          <w:rFonts w:ascii="Verdana" w:eastAsia="Verdana" w:hAnsi="Verdana" w:cs="Verdana"/>
          <w:sz w:val="20"/>
          <w:szCs w:val="20"/>
        </w:rPr>
        <w:t xml:space="preserve"> las funciones del Ministerio de Ciencia, tecnología e Innovación</w:t>
      </w:r>
      <w:r w:rsidR="00B1411E" w:rsidRPr="00801407">
        <w:rPr>
          <w:rFonts w:ascii="Verdana" w:eastAsia="Verdana" w:hAnsi="Verdana" w:cs="Verdana"/>
          <w:sz w:val="20"/>
          <w:szCs w:val="20"/>
        </w:rPr>
        <w:t xml:space="preserve">, como órgano </w:t>
      </w:r>
      <w:r w:rsidR="00033922" w:rsidRPr="00801407">
        <w:rPr>
          <w:rFonts w:ascii="Verdana" w:eastAsia="Verdana" w:hAnsi="Verdana" w:cs="Verdana"/>
          <w:sz w:val="20"/>
          <w:szCs w:val="20"/>
        </w:rPr>
        <w:t>del Sistema General de Regalías,</w:t>
      </w:r>
      <w:r w:rsidR="00CD1C57" w:rsidRPr="00801407">
        <w:rPr>
          <w:rFonts w:ascii="Verdana" w:eastAsia="Verdana" w:hAnsi="Verdana" w:cs="Verdana"/>
          <w:sz w:val="20"/>
          <w:szCs w:val="20"/>
        </w:rPr>
        <w:t xml:space="preserve"> señalando, entre otros, lo siguiente</w:t>
      </w:r>
      <w:r w:rsidR="00033922" w:rsidRPr="00801407">
        <w:rPr>
          <w:rFonts w:ascii="Verdana" w:eastAsia="Verdana" w:hAnsi="Verdana" w:cs="Verdana"/>
          <w:sz w:val="20"/>
          <w:szCs w:val="20"/>
        </w:rPr>
        <w:t xml:space="preserve">: </w:t>
      </w:r>
      <w:r w:rsidR="00B1411E" w:rsidRPr="00801407">
        <w:rPr>
          <w:rFonts w:ascii="Verdana" w:eastAsia="Verdana" w:hAnsi="Verdana" w:cs="Verdana"/>
          <w:sz w:val="20"/>
          <w:szCs w:val="20"/>
        </w:rPr>
        <w:t xml:space="preserve"> </w:t>
      </w:r>
    </w:p>
    <w:p w14:paraId="29B338EA" w14:textId="77777777" w:rsidR="00B509AA" w:rsidRDefault="00B509AA">
      <w:pPr>
        <w:pStyle w:val="Prrafodelista"/>
        <w:spacing w:after="0" w:line="240" w:lineRule="auto"/>
        <w:ind w:right="49"/>
        <w:jc w:val="both"/>
        <w:rPr>
          <w:rFonts w:ascii="Verdana" w:eastAsia="Verdana" w:hAnsi="Verdana" w:cs="Verdana"/>
          <w:sz w:val="20"/>
          <w:szCs w:val="20"/>
        </w:rPr>
      </w:pPr>
    </w:p>
    <w:p w14:paraId="30DD92F5" w14:textId="0DD02F97" w:rsidR="00B509AA" w:rsidRPr="00801407" w:rsidRDefault="00B509AA" w:rsidP="00801407">
      <w:pPr>
        <w:pStyle w:val="Prrafodelista"/>
        <w:spacing w:after="0" w:line="240" w:lineRule="auto"/>
        <w:ind w:left="1134" w:right="566"/>
        <w:jc w:val="both"/>
        <w:rPr>
          <w:rFonts w:ascii="Verdana" w:eastAsia="Verdana" w:hAnsi="Verdana" w:cs="Verdana"/>
          <w:i/>
          <w:iCs/>
          <w:sz w:val="18"/>
          <w:szCs w:val="18"/>
        </w:rPr>
      </w:pPr>
      <w:r w:rsidRPr="00801407">
        <w:rPr>
          <w:rFonts w:ascii="Verdana" w:eastAsia="Verdana" w:hAnsi="Verdana" w:cs="Verdana"/>
          <w:i/>
          <w:iCs/>
          <w:sz w:val="18"/>
          <w:szCs w:val="18"/>
        </w:rPr>
        <w:t xml:space="preserve"> </w:t>
      </w:r>
      <w:r w:rsidR="00BE6A74" w:rsidRPr="00801407">
        <w:rPr>
          <w:rFonts w:ascii="Verdana" w:eastAsia="Verdana" w:hAnsi="Verdana" w:cs="Verdana"/>
          <w:i/>
          <w:iCs/>
          <w:sz w:val="18"/>
          <w:szCs w:val="18"/>
        </w:rPr>
        <w:t xml:space="preserve">“(…) </w:t>
      </w:r>
      <w:r w:rsidRPr="00801407">
        <w:rPr>
          <w:rFonts w:ascii="Verdana" w:eastAsia="Verdana" w:hAnsi="Verdana" w:cs="Verdana"/>
          <w:i/>
          <w:iCs/>
          <w:sz w:val="18"/>
          <w:szCs w:val="18"/>
        </w:rPr>
        <w:t>ARTÍCULO 10. Funciones del Ministerio de Ciencia Tecnología e Innovación:</w:t>
      </w:r>
    </w:p>
    <w:p w14:paraId="33CC9621" w14:textId="77777777" w:rsidR="00B509AA" w:rsidRPr="00801407" w:rsidRDefault="00B509AA" w:rsidP="00801407">
      <w:pPr>
        <w:pStyle w:val="Prrafodelista"/>
        <w:spacing w:after="0" w:line="240" w:lineRule="auto"/>
        <w:ind w:left="1134" w:right="566"/>
        <w:jc w:val="both"/>
        <w:rPr>
          <w:rFonts w:ascii="Verdana" w:eastAsia="Verdana" w:hAnsi="Verdana" w:cs="Verdana"/>
          <w:i/>
          <w:iCs/>
          <w:sz w:val="18"/>
          <w:szCs w:val="18"/>
        </w:rPr>
      </w:pPr>
    </w:p>
    <w:p w14:paraId="7D88B8D2" w14:textId="537006AF" w:rsidR="00B509AA" w:rsidRPr="00801407" w:rsidRDefault="00B509AA" w:rsidP="00801407">
      <w:pPr>
        <w:pStyle w:val="Prrafodelista"/>
        <w:spacing w:after="0" w:line="240" w:lineRule="auto"/>
        <w:ind w:left="1134" w:right="566"/>
        <w:jc w:val="both"/>
        <w:rPr>
          <w:rFonts w:ascii="Verdana" w:eastAsia="Verdana" w:hAnsi="Verdana" w:cs="Verdana"/>
          <w:i/>
          <w:iCs/>
          <w:sz w:val="18"/>
          <w:szCs w:val="18"/>
        </w:rPr>
      </w:pPr>
      <w:r w:rsidRPr="00801407">
        <w:rPr>
          <w:rFonts w:ascii="Verdana" w:eastAsia="Verdana" w:hAnsi="Verdana" w:cs="Verdana"/>
          <w:i/>
          <w:iCs/>
          <w:sz w:val="18"/>
          <w:szCs w:val="18"/>
        </w:rPr>
        <w:t>1. Elaborar el plan de convocatorias para la inversión en ciencia, tecnología e innovación conjuntamente con el Departamento Nacional de Planeación y en lo que se refiere a la Asignación para la Inversión en Ciencia, Tecnología e Innovación Ambiental, adicionalmente, con el Ministerio de Ambiente y Desarrollo Sostenible.</w:t>
      </w:r>
      <w:r w:rsidR="00BE6A74" w:rsidRPr="00801407">
        <w:rPr>
          <w:rFonts w:ascii="Verdana" w:eastAsia="Verdana" w:hAnsi="Verdana" w:cs="Verdana"/>
          <w:i/>
          <w:iCs/>
          <w:sz w:val="18"/>
          <w:szCs w:val="18"/>
        </w:rPr>
        <w:t xml:space="preserve"> (…)”</w:t>
      </w:r>
    </w:p>
    <w:p w14:paraId="54461A59" w14:textId="77777777" w:rsidR="00B509AA" w:rsidRPr="00801407" w:rsidRDefault="00B509AA">
      <w:pPr>
        <w:pStyle w:val="Prrafodelista"/>
        <w:spacing w:after="0" w:line="240" w:lineRule="auto"/>
        <w:ind w:right="49"/>
        <w:jc w:val="both"/>
        <w:rPr>
          <w:rFonts w:ascii="Verdana" w:eastAsia="Verdana" w:hAnsi="Verdana" w:cs="Verdana"/>
          <w:sz w:val="18"/>
          <w:szCs w:val="18"/>
        </w:rPr>
      </w:pPr>
    </w:p>
    <w:p w14:paraId="1044A242" w14:textId="0FED2807" w:rsidR="00BE4A0D" w:rsidRPr="00801407" w:rsidRDefault="00BE4A0D">
      <w:pPr>
        <w:pStyle w:val="Prrafodelista"/>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lastRenderedPageBreak/>
        <w:t xml:space="preserve">Y de manera específica respecto a la asignación para la Ciencia, Tecnología e Innovación en su artículo 52 dispuso, entre otros, lo siguiente: </w:t>
      </w:r>
    </w:p>
    <w:p w14:paraId="46773299" w14:textId="77777777" w:rsidR="00BE4A0D" w:rsidRDefault="00BE4A0D">
      <w:pPr>
        <w:pStyle w:val="Prrafodelista"/>
        <w:spacing w:after="0" w:line="240" w:lineRule="auto"/>
        <w:ind w:right="49"/>
        <w:jc w:val="both"/>
        <w:rPr>
          <w:rFonts w:ascii="Verdana" w:eastAsia="Verdana" w:hAnsi="Verdana" w:cs="Verdana"/>
          <w:sz w:val="20"/>
          <w:szCs w:val="20"/>
        </w:rPr>
      </w:pPr>
    </w:p>
    <w:p w14:paraId="345BD52E" w14:textId="15314005" w:rsidR="00BE4A0D" w:rsidRPr="00801407" w:rsidRDefault="00BE4A0D" w:rsidP="00801407">
      <w:pPr>
        <w:pStyle w:val="Prrafodelista"/>
        <w:spacing w:after="0"/>
        <w:ind w:left="1276" w:right="708"/>
        <w:jc w:val="both"/>
        <w:rPr>
          <w:rFonts w:ascii="Verdana" w:eastAsia="Verdana" w:hAnsi="Verdana" w:cs="Verdana"/>
          <w:i/>
          <w:iCs/>
          <w:sz w:val="18"/>
          <w:szCs w:val="18"/>
        </w:rPr>
      </w:pPr>
      <w:r w:rsidRPr="00801407">
        <w:rPr>
          <w:rFonts w:ascii="Verdana" w:eastAsia="Verdana" w:hAnsi="Verdana" w:cs="Verdana"/>
          <w:i/>
          <w:iCs/>
          <w:sz w:val="18"/>
          <w:szCs w:val="18"/>
        </w:rPr>
        <w:t xml:space="preserve">“(…) </w:t>
      </w:r>
      <w:r w:rsidRPr="00801407">
        <w:rPr>
          <w:rFonts w:ascii="Verdana" w:eastAsia="Verdana" w:hAnsi="Verdana" w:cs="Verdana"/>
          <w:b/>
          <w:bCs/>
          <w:i/>
          <w:iCs/>
          <w:sz w:val="18"/>
          <w:szCs w:val="18"/>
        </w:rPr>
        <w:t>ARTÍCULO 52. Asignación para la Ciencia, Tecnología e Innovación.</w:t>
      </w:r>
      <w:r w:rsidRPr="00801407">
        <w:rPr>
          <w:rFonts w:ascii="Verdana" w:eastAsia="Verdana" w:hAnsi="Verdana" w:cs="Verdana"/>
          <w:i/>
          <w:iCs/>
          <w:sz w:val="18"/>
          <w:szCs w:val="18"/>
        </w:rPr>
        <w:t> La Asignación para la Ciencia, Tecnología e Innovación tendrá como objeto incrementar la capacidad científica, tecnológica, de innovación promoviendo el desarrollo empresarial y la competitividad de las regiones, mediante proyectos de inversión que contribuyan a la producción, uso, integración y apropiación del conocimiento básico y aplicado en el aparato productivo y en la sociedad en general, incluidos entre otros en el sector agropecuario y proyectos que promuevan la conectividad y cierre de brecha digital, contribuyendo al progreso social, al dinamismo económico, al crecimiento sostenible y una mayor prosperidad para toda la población. Podrán participar de las convocatorias públicas, abiertas y competitivas, proyectos con enfoque étnico diferencial que incluyan los conocimientos, innovaciones y prácticas de los pueblos étnicos.</w:t>
      </w:r>
    </w:p>
    <w:p w14:paraId="420E0879" w14:textId="507737AF" w:rsidR="00BE4A0D" w:rsidRPr="00801407" w:rsidRDefault="00BE4A0D" w:rsidP="00801407">
      <w:pPr>
        <w:pStyle w:val="Prrafodelista"/>
        <w:spacing w:after="0"/>
        <w:ind w:left="1276" w:right="708"/>
        <w:jc w:val="both"/>
        <w:rPr>
          <w:rFonts w:ascii="Verdana" w:eastAsia="Verdana" w:hAnsi="Verdana" w:cs="Verdana"/>
          <w:i/>
          <w:iCs/>
          <w:sz w:val="18"/>
          <w:szCs w:val="18"/>
        </w:rPr>
      </w:pPr>
      <w:r w:rsidRPr="00801407">
        <w:rPr>
          <w:rFonts w:ascii="Verdana" w:eastAsia="Verdana" w:hAnsi="Verdana" w:cs="Verdana"/>
          <w:b/>
          <w:bCs/>
          <w:i/>
          <w:iCs/>
          <w:sz w:val="18"/>
          <w:szCs w:val="18"/>
        </w:rPr>
        <w:t>PARÁGRAFO.</w:t>
      </w:r>
      <w:r w:rsidRPr="00801407">
        <w:rPr>
          <w:rFonts w:ascii="Verdana" w:eastAsia="Verdana" w:hAnsi="Verdana" w:cs="Verdana"/>
          <w:i/>
          <w:iCs/>
          <w:sz w:val="18"/>
          <w:szCs w:val="18"/>
        </w:rPr>
        <w:t> En cumplimiento del inciso 7° del artículo </w:t>
      </w:r>
      <w:r w:rsidRPr="00801407">
        <w:rPr>
          <w:rStyle w:val="Hipervnculo"/>
          <w:rFonts w:ascii="Verdana" w:eastAsia="Verdana" w:hAnsi="Verdana" w:cs="Verdana"/>
          <w:i/>
          <w:iCs/>
          <w:sz w:val="18"/>
          <w:szCs w:val="18"/>
        </w:rPr>
        <w:t>361 </w:t>
      </w:r>
      <w:r w:rsidRPr="00801407">
        <w:rPr>
          <w:rFonts w:ascii="Verdana" w:eastAsia="Verdana" w:hAnsi="Verdana" w:cs="Verdana"/>
          <w:i/>
          <w:iCs/>
          <w:sz w:val="18"/>
          <w:szCs w:val="18"/>
        </w:rPr>
        <w:t>de la Constitución Política, en el presupuesto bienal del sistema se señalarán los recursos que como mínimo deben destinarse a la inversión en proyectos de ciencia, tecnología e innovación en asuntos relacionados o con incidencia sobre el ambiente y el desarrollo sostenible. (…)”</w:t>
      </w:r>
    </w:p>
    <w:p w14:paraId="7C6DF952" w14:textId="77777777" w:rsidR="00BE4A0D" w:rsidRDefault="00BE4A0D">
      <w:pPr>
        <w:pStyle w:val="Prrafodelista"/>
        <w:spacing w:after="0" w:line="240" w:lineRule="auto"/>
        <w:ind w:right="49"/>
        <w:jc w:val="both"/>
        <w:rPr>
          <w:rFonts w:ascii="Verdana" w:eastAsia="Verdana" w:hAnsi="Verdana" w:cs="Verdana"/>
          <w:sz w:val="20"/>
          <w:szCs w:val="20"/>
        </w:rPr>
      </w:pPr>
    </w:p>
    <w:p w14:paraId="345E7BE7" w14:textId="26D2B28C" w:rsidR="00F16D31" w:rsidRPr="00801407" w:rsidRDefault="006F645D" w:rsidP="00BC1E4E">
      <w:pPr>
        <w:pStyle w:val="Prrafodelista"/>
        <w:numPr>
          <w:ilvl w:val="0"/>
          <w:numId w:val="2"/>
        </w:numPr>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 xml:space="preserve">Posteriormente, mediante el </w:t>
      </w:r>
      <w:r w:rsidR="00F16D31" w:rsidRPr="00801407">
        <w:rPr>
          <w:rFonts w:ascii="Verdana" w:eastAsia="Verdana" w:hAnsi="Verdana" w:cs="Verdana"/>
          <w:sz w:val="20"/>
          <w:szCs w:val="20"/>
        </w:rPr>
        <w:t xml:space="preserve">Decreto 1821 de 2020 </w:t>
      </w:r>
      <w:r w:rsidR="00F16D31" w:rsidRPr="00801407">
        <w:rPr>
          <w:rFonts w:ascii="Verdana" w:eastAsia="Verdana" w:hAnsi="Verdana" w:cs="Verdana"/>
          <w:i/>
          <w:iCs/>
          <w:sz w:val="20"/>
          <w:szCs w:val="20"/>
        </w:rPr>
        <w:t>“Por el cual se expide el Decreto Único Reglamentario del Sistema General de Regalías”</w:t>
      </w:r>
      <w:r w:rsidR="00F16D31" w:rsidRPr="00801407">
        <w:rPr>
          <w:rFonts w:ascii="Verdana" w:eastAsia="Verdana" w:hAnsi="Verdana" w:cs="Verdana"/>
          <w:sz w:val="20"/>
          <w:szCs w:val="20"/>
        </w:rPr>
        <w:t>,</w:t>
      </w:r>
      <w:r w:rsidRPr="00801407">
        <w:rPr>
          <w:rFonts w:ascii="Verdana" w:eastAsia="Verdana" w:hAnsi="Verdana" w:cs="Verdana"/>
          <w:sz w:val="20"/>
          <w:szCs w:val="20"/>
        </w:rPr>
        <w:t xml:space="preserve"> se esta</w:t>
      </w:r>
      <w:r w:rsidR="008F1AC9" w:rsidRPr="00801407">
        <w:rPr>
          <w:rFonts w:ascii="Verdana" w:eastAsia="Verdana" w:hAnsi="Verdana" w:cs="Verdana"/>
          <w:sz w:val="20"/>
          <w:szCs w:val="20"/>
        </w:rPr>
        <w:t>b</w:t>
      </w:r>
      <w:r w:rsidRPr="00801407">
        <w:rPr>
          <w:rFonts w:ascii="Verdana" w:eastAsia="Verdana" w:hAnsi="Verdana" w:cs="Verdana"/>
          <w:sz w:val="20"/>
          <w:szCs w:val="20"/>
        </w:rPr>
        <w:t xml:space="preserve">lecieron, entre otras, las siguientes definiciones: </w:t>
      </w:r>
      <w:r w:rsidR="00F16D31" w:rsidRPr="00801407">
        <w:rPr>
          <w:rFonts w:ascii="Verdana" w:eastAsia="Verdana" w:hAnsi="Verdana" w:cs="Verdana"/>
          <w:sz w:val="20"/>
          <w:szCs w:val="20"/>
        </w:rPr>
        <w:t xml:space="preserve"> </w:t>
      </w:r>
    </w:p>
    <w:p w14:paraId="595B8861" w14:textId="77777777" w:rsidR="00F16D31" w:rsidRDefault="00F16D31">
      <w:pPr>
        <w:pStyle w:val="Prrafodelista"/>
        <w:spacing w:after="0" w:line="240" w:lineRule="auto"/>
        <w:ind w:right="49"/>
        <w:jc w:val="both"/>
        <w:rPr>
          <w:rFonts w:ascii="Verdana" w:eastAsia="Verdana" w:hAnsi="Verdana" w:cs="Verdana"/>
          <w:sz w:val="20"/>
          <w:szCs w:val="20"/>
        </w:rPr>
      </w:pPr>
    </w:p>
    <w:p w14:paraId="0F36A54F" w14:textId="4567F1B9" w:rsidR="00F44EBD" w:rsidRPr="00801407" w:rsidRDefault="006F645D" w:rsidP="00801407">
      <w:pPr>
        <w:pStyle w:val="Prrafodelista"/>
        <w:spacing w:after="0" w:line="240" w:lineRule="auto"/>
        <w:ind w:left="1276" w:right="566"/>
        <w:jc w:val="both"/>
        <w:rPr>
          <w:rFonts w:ascii="Verdana" w:eastAsia="Verdana" w:hAnsi="Verdana" w:cs="Verdana"/>
          <w:i/>
          <w:iCs/>
          <w:sz w:val="18"/>
          <w:szCs w:val="18"/>
        </w:rPr>
      </w:pPr>
      <w:r w:rsidRPr="00801407">
        <w:rPr>
          <w:rFonts w:ascii="Verdana" w:eastAsia="Verdana" w:hAnsi="Verdana" w:cs="Verdana"/>
          <w:i/>
          <w:iCs/>
          <w:sz w:val="18"/>
          <w:szCs w:val="18"/>
        </w:rPr>
        <w:t xml:space="preserve">“(…) </w:t>
      </w:r>
      <w:r w:rsidR="00F44EBD" w:rsidRPr="00801407">
        <w:rPr>
          <w:rFonts w:ascii="Verdana" w:eastAsia="Verdana" w:hAnsi="Verdana" w:cs="Verdana"/>
          <w:i/>
          <w:iCs/>
          <w:sz w:val="18"/>
          <w:szCs w:val="18"/>
        </w:rPr>
        <w:t xml:space="preserve">Artículo 1.2.3.1.1. Definiciones. Para efectos de la aplicación e interpretación de la Asignación para la Ciencia, Tecnología e Innovación se utilizarán las siguientes definiciones: </w:t>
      </w:r>
    </w:p>
    <w:p w14:paraId="6A9F53C0" w14:textId="77777777" w:rsidR="00F44EBD" w:rsidRPr="00801407" w:rsidRDefault="00F44EBD" w:rsidP="00801407">
      <w:pPr>
        <w:pStyle w:val="Prrafodelista"/>
        <w:spacing w:after="0" w:line="240" w:lineRule="auto"/>
        <w:ind w:left="1276" w:right="566"/>
        <w:jc w:val="both"/>
        <w:rPr>
          <w:rFonts w:ascii="Verdana" w:eastAsia="Verdana" w:hAnsi="Verdana" w:cs="Verdana"/>
          <w:i/>
          <w:iCs/>
          <w:sz w:val="18"/>
          <w:szCs w:val="18"/>
        </w:rPr>
      </w:pPr>
    </w:p>
    <w:p w14:paraId="7F54F9A2" w14:textId="77777777" w:rsidR="00F44EBD" w:rsidRPr="00801407" w:rsidRDefault="00F44EBD" w:rsidP="00801407">
      <w:pPr>
        <w:pStyle w:val="Prrafodelista"/>
        <w:spacing w:after="0" w:line="240" w:lineRule="auto"/>
        <w:ind w:left="1276" w:right="566"/>
        <w:jc w:val="both"/>
        <w:rPr>
          <w:rFonts w:ascii="Verdana" w:eastAsia="Verdana" w:hAnsi="Verdana" w:cs="Verdana"/>
          <w:i/>
          <w:iCs/>
          <w:sz w:val="18"/>
          <w:szCs w:val="18"/>
        </w:rPr>
      </w:pPr>
      <w:r w:rsidRPr="00801407">
        <w:rPr>
          <w:rFonts w:ascii="Verdana" w:eastAsia="Verdana" w:hAnsi="Verdana" w:cs="Verdana"/>
          <w:i/>
          <w:iCs/>
          <w:sz w:val="18"/>
          <w:szCs w:val="18"/>
        </w:rPr>
        <w:t xml:space="preserve">1. Plan de Convocatorias: El Plan de Convocatorias es el instrumento mediante el cual se realiza la planeación de la inversión de recursos de la Asignación para la Ciencia, la Tecnología y la Innovación, en el cual se consolidan y clasifican las demandas territoriales expresadas y concertadas en los ejercicios de planeación, se determinan los montos financiables y el cronograma de apertura de las convocatorias. Este instrumento es el fundamento para la estructuración de los términos de referencia de las convocatorias públicas, abiertas y competitivas. </w:t>
      </w:r>
    </w:p>
    <w:p w14:paraId="2264CE7F" w14:textId="77777777" w:rsidR="00F44EBD" w:rsidRPr="00801407" w:rsidRDefault="00F44EBD" w:rsidP="00801407">
      <w:pPr>
        <w:pStyle w:val="Prrafodelista"/>
        <w:spacing w:after="0" w:line="240" w:lineRule="auto"/>
        <w:ind w:left="1276" w:right="566"/>
        <w:jc w:val="both"/>
        <w:rPr>
          <w:rFonts w:ascii="Verdana" w:eastAsia="Verdana" w:hAnsi="Verdana" w:cs="Verdana"/>
          <w:i/>
          <w:iCs/>
          <w:sz w:val="18"/>
          <w:szCs w:val="18"/>
        </w:rPr>
      </w:pPr>
    </w:p>
    <w:p w14:paraId="7483237F" w14:textId="67361F8A" w:rsidR="00F44EBD" w:rsidRPr="00801407" w:rsidRDefault="00F44EBD" w:rsidP="00801407">
      <w:pPr>
        <w:pStyle w:val="Prrafodelista"/>
        <w:spacing w:after="0" w:line="240" w:lineRule="auto"/>
        <w:ind w:left="1276" w:right="566"/>
        <w:jc w:val="both"/>
        <w:rPr>
          <w:rFonts w:ascii="Verdana" w:eastAsia="Verdana" w:hAnsi="Verdana" w:cs="Verdana"/>
          <w:i/>
          <w:iCs/>
          <w:sz w:val="18"/>
          <w:szCs w:val="18"/>
        </w:rPr>
      </w:pPr>
      <w:r w:rsidRPr="00801407">
        <w:rPr>
          <w:rFonts w:ascii="Verdana" w:eastAsia="Verdana" w:hAnsi="Verdana" w:cs="Verdana"/>
          <w:i/>
          <w:iCs/>
          <w:sz w:val="18"/>
          <w:szCs w:val="18"/>
        </w:rPr>
        <w:t>2. Convocatorias públicas, abiertas y competitivas: Se entiende por convocatoria pública, abierta y competitiva el proceso a través del cual el Ministerio de Ciencia, Tecnología e Innovación, en calidad de Secretaría Técnica del Órgano Colegiado de Administración y Decisión de Ciencia, Tecnología e Innovación realiza una invitación a entidades que hacen parte del Sistema Nacional de Ciencia, Tecnología e Innovación-SNCTI, con el propósito de conformar un listado de proyectos elegibles a través de un proceso de evaluación que permita seleccionar los proyectos de inversión que atiendan a las demandas territoriales.</w:t>
      </w:r>
    </w:p>
    <w:p w14:paraId="11FF29B4" w14:textId="39AFDABA" w:rsidR="00F44EBD" w:rsidRPr="00801407" w:rsidRDefault="006F645D" w:rsidP="00801407">
      <w:pPr>
        <w:pStyle w:val="Prrafodelista"/>
        <w:spacing w:after="0" w:line="240" w:lineRule="auto"/>
        <w:ind w:left="1276" w:right="566"/>
        <w:jc w:val="both"/>
        <w:rPr>
          <w:rFonts w:ascii="Verdana" w:eastAsia="Verdana" w:hAnsi="Verdana" w:cs="Verdana"/>
          <w:i/>
          <w:iCs/>
          <w:sz w:val="18"/>
          <w:szCs w:val="18"/>
        </w:rPr>
      </w:pPr>
      <w:r w:rsidRPr="00801407">
        <w:rPr>
          <w:rFonts w:ascii="Verdana" w:eastAsia="Verdana" w:hAnsi="Verdana" w:cs="Verdana"/>
          <w:i/>
          <w:iCs/>
          <w:sz w:val="18"/>
          <w:szCs w:val="18"/>
        </w:rPr>
        <w:t>(…)</w:t>
      </w:r>
    </w:p>
    <w:p w14:paraId="3513DDD1" w14:textId="06A45323" w:rsidR="00F44EBD" w:rsidRPr="00801407" w:rsidRDefault="00F44EBD" w:rsidP="00801407">
      <w:pPr>
        <w:pStyle w:val="Prrafodelista"/>
        <w:spacing w:line="240" w:lineRule="auto"/>
        <w:ind w:left="1276" w:right="566"/>
        <w:jc w:val="both"/>
        <w:rPr>
          <w:rFonts w:ascii="Verdana" w:eastAsia="Verdana" w:hAnsi="Verdana" w:cs="Verdana"/>
          <w:i/>
          <w:iCs/>
          <w:sz w:val="18"/>
          <w:szCs w:val="18"/>
        </w:rPr>
      </w:pPr>
      <w:r w:rsidRPr="00801407">
        <w:rPr>
          <w:rFonts w:ascii="Verdana" w:eastAsia="Verdana" w:hAnsi="Verdana" w:cs="Verdana"/>
          <w:b/>
          <w:bCs/>
          <w:i/>
          <w:iCs/>
          <w:sz w:val="18"/>
          <w:szCs w:val="18"/>
        </w:rPr>
        <w:lastRenderedPageBreak/>
        <w:t>7. Demandas territoriales</w:t>
      </w:r>
      <w:r w:rsidRPr="00801407">
        <w:rPr>
          <w:rFonts w:ascii="Verdana" w:eastAsia="Verdana" w:hAnsi="Verdana" w:cs="Verdana"/>
          <w:i/>
          <w:iCs/>
          <w:sz w:val="18"/>
          <w:szCs w:val="18"/>
        </w:rPr>
        <w:t>. Se entienden por demandas territoriales los problemas, las necesidades o las oportunidades que puedan ser solucionadas o transformadas mediante la ciencia, la tecnología y la innovación en los territorios, en atención a lo dispuesto en el Artículo 52 de la Ley 2056 de 2020. </w:t>
      </w:r>
      <w:r w:rsidR="006F645D" w:rsidRPr="00801407">
        <w:rPr>
          <w:rFonts w:ascii="Verdana" w:eastAsia="Verdana" w:hAnsi="Verdana" w:cs="Verdana"/>
          <w:i/>
          <w:iCs/>
          <w:sz w:val="18"/>
          <w:szCs w:val="18"/>
        </w:rPr>
        <w:t xml:space="preserve"> (…)”</w:t>
      </w:r>
    </w:p>
    <w:p w14:paraId="6D45F4DB" w14:textId="4CDA83D4" w:rsidR="00495DF0" w:rsidRPr="00801407" w:rsidRDefault="00AA0704" w:rsidP="00801407">
      <w:pPr>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Así las cosas,</w:t>
      </w:r>
      <w:r w:rsidR="00A6424F" w:rsidRPr="00801407">
        <w:rPr>
          <w:rFonts w:ascii="Verdana" w:eastAsia="Verdana" w:hAnsi="Verdana" w:cs="Verdana"/>
          <w:sz w:val="20"/>
          <w:szCs w:val="20"/>
        </w:rPr>
        <w:t xml:space="preserve"> con </w:t>
      </w:r>
      <w:r w:rsidR="00495DF0" w:rsidRPr="00801407">
        <w:rPr>
          <w:rFonts w:ascii="Verdana" w:eastAsia="Verdana" w:hAnsi="Verdana" w:cs="Verdana"/>
          <w:sz w:val="20"/>
          <w:szCs w:val="20"/>
        </w:rPr>
        <w:t xml:space="preserve">la entrada en vigencia del numeral 1 del artículo 10 de la Ley 2056 de 2020 </w:t>
      </w:r>
      <w:r w:rsidR="00495DF0" w:rsidRPr="00801407">
        <w:rPr>
          <w:rFonts w:ascii="Verdana" w:eastAsia="Verdana" w:hAnsi="Verdana" w:cs="Verdana"/>
          <w:i/>
          <w:iCs/>
          <w:sz w:val="20"/>
          <w:szCs w:val="20"/>
        </w:rPr>
        <w:t>“Por la cual se regula la organización y el funcionamiento del Sistema General de Regalías”</w:t>
      </w:r>
      <w:r w:rsidR="00495DF0" w:rsidRPr="00801407">
        <w:rPr>
          <w:rFonts w:ascii="Verdana" w:eastAsia="Verdana" w:hAnsi="Verdana" w:cs="Verdana"/>
          <w:sz w:val="20"/>
          <w:szCs w:val="20"/>
        </w:rPr>
        <w:t xml:space="preserve">, del Decreto 1821 de 2020 </w:t>
      </w:r>
      <w:r w:rsidR="00495DF0" w:rsidRPr="00801407">
        <w:rPr>
          <w:rFonts w:ascii="Verdana" w:eastAsia="Verdana" w:hAnsi="Verdana" w:cs="Verdana"/>
          <w:i/>
          <w:iCs/>
          <w:sz w:val="20"/>
          <w:szCs w:val="20"/>
        </w:rPr>
        <w:t>“Por el cual se expide el Decreto Único Reglamentario del Sistema General de Regalías”</w:t>
      </w:r>
      <w:r w:rsidR="00495DF0" w:rsidRPr="00801407">
        <w:rPr>
          <w:rFonts w:ascii="Verdana" w:eastAsia="Verdana" w:hAnsi="Verdana" w:cs="Verdana"/>
          <w:sz w:val="20"/>
          <w:szCs w:val="20"/>
        </w:rPr>
        <w:t xml:space="preserve">, de la Ley 2162 de 2021 </w:t>
      </w:r>
      <w:r w:rsidR="00495DF0" w:rsidRPr="00801407">
        <w:rPr>
          <w:rFonts w:ascii="Verdana" w:eastAsia="Verdana" w:hAnsi="Verdana" w:cs="Verdana"/>
          <w:i/>
          <w:iCs/>
          <w:sz w:val="20"/>
          <w:szCs w:val="20"/>
        </w:rPr>
        <w:t>“Por medio de la cual se crea el Ministerio de Ciencia, Tecnología e Innovación y se dictan otras disposiciones”</w:t>
      </w:r>
      <w:r w:rsidR="00495DF0" w:rsidRPr="00801407">
        <w:rPr>
          <w:rFonts w:ascii="Verdana" w:eastAsia="Verdana" w:hAnsi="Verdana" w:cs="Verdana"/>
          <w:sz w:val="20"/>
          <w:szCs w:val="20"/>
        </w:rPr>
        <w:t>,</w:t>
      </w:r>
      <w:r w:rsidR="00A6424F" w:rsidRPr="00801407">
        <w:rPr>
          <w:rFonts w:ascii="Verdana" w:eastAsia="Verdana" w:hAnsi="Verdana" w:cs="Verdana"/>
          <w:sz w:val="20"/>
          <w:szCs w:val="20"/>
        </w:rPr>
        <w:t xml:space="preserve"> </w:t>
      </w:r>
      <w:r w:rsidR="00495DF0" w:rsidRPr="00801407">
        <w:rPr>
          <w:rFonts w:ascii="Verdana" w:eastAsia="Verdana" w:hAnsi="Verdana" w:cs="Verdana"/>
          <w:sz w:val="20"/>
          <w:szCs w:val="20"/>
        </w:rPr>
        <w:t xml:space="preserve">del Decreto 1449 de 2022 </w:t>
      </w:r>
      <w:r w:rsidR="00495DF0" w:rsidRPr="00801407">
        <w:rPr>
          <w:rFonts w:ascii="Verdana" w:eastAsia="Verdana" w:hAnsi="Verdana" w:cs="Verdana"/>
          <w:i/>
          <w:iCs/>
          <w:sz w:val="20"/>
          <w:szCs w:val="20"/>
        </w:rPr>
        <w:t>"Por el cual se adopta la estructura del Ministerio de Ciencia, Tecnología e Innovación y se dictan otras disposiciones"</w:t>
      </w:r>
      <w:r w:rsidR="00495DF0" w:rsidRPr="00801407">
        <w:rPr>
          <w:rFonts w:ascii="Verdana" w:eastAsia="Verdana" w:hAnsi="Verdana" w:cs="Verdana"/>
          <w:sz w:val="20"/>
          <w:szCs w:val="20"/>
        </w:rPr>
        <w:t>, los Planes y Acuerdos Estratégicos Departamentales (PAED) en Ciencia, Tecnología e Innovación (CTeI) que antes fueron un instrumento de planeación para la inversión de los recursos del entonces Fondo de Ciencia, Tecnología e Innovación del Sistema General de Regalías (hoy Asignación para la Inversión en Ciencia, Tecnología e Innovación), ahora son las demandas territoriales las que la orientan estas inversiones</w:t>
      </w:r>
      <w:r w:rsidR="00AD3E6C" w:rsidRPr="00801407">
        <w:rPr>
          <w:rFonts w:ascii="Verdana" w:eastAsia="Verdana" w:hAnsi="Verdana" w:cs="Verdana"/>
          <w:sz w:val="20"/>
          <w:szCs w:val="20"/>
        </w:rPr>
        <w:t>, por lo tanto resulta pertinente la derogatoria de la Resolución 445 de 2015.</w:t>
      </w:r>
    </w:p>
    <w:p w14:paraId="5634DAC5" w14:textId="77777777" w:rsidR="00495DF0" w:rsidRPr="00801407" w:rsidRDefault="00495DF0" w:rsidP="00F92941">
      <w:pPr>
        <w:tabs>
          <w:tab w:val="left" w:pos="9214"/>
        </w:tabs>
        <w:spacing w:after="0" w:line="240" w:lineRule="auto"/>
        <w:ind w:right="49"/>
        <w:jc w:val="both"/>
        <w:rPr>
          <w:rFonts w:ascii="Verdana" w:eastAsia="Verdana" w:hAnsi="Verdana" w:cs="Verdana"/>
          <w:color w:val="000000" w:themeColor="text1"/>
          <w:sz w:val="20"/>
          <w:szCs w:val="20"/>
        </w:rPr>
      </w:pPr>
    </w:p>
    <w:p w14:paraId="4123003A" w14:textId="74789EE1" w:rsidR="0037654B" w:rsidRPr="00801407" w:rsidRDefault="0037654B" w:rsidP="001A1316">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 xml:space="preserve">Que el Comité Ministerial, </w:t>
      </w:r>
      <w:r w:rsidR="007A65AA" w:rsidRPr="00801407">
        <w:rPr>
          <w:rFonts w:ascii="Verdana" w:eastAsia="Verdana" w:hAnsi="Verdana" w:cs="Verdana"/>
          <w:color w:val="000000" w:themeColor="text1"/>
          <w:sz w:val="20"/>
          <w:szCs w:val="20"/>
        </w:rPr>
        <w:t>en sesión del</w:t>
      </w:r>
      <w:r w:rsidRPr="00801407">
        <w:rPr>
          <w:rFonts w:ascii="Verdana" w:eastAsia="Verdana" w:hAnsi="Verdana" w:cs="Verdana"/>
          <w:color w:val="000000" w:themeColor="text1"/>
          <w:sz w:val="20"/>
          <w:szCs w:val="20"/>
        </w:rPr>
        <w:t xml:space="preserve"> </w:t>
      </w:r>
      <w:r w:rsidRPr="00801407">
        <w:rPr>
          <w:rFonts w:ascii="Verdana" w:eastAsia="Verdana" w:hAnsi="Verdana" w:cs="Verdana"/>
          <w:color w:val="000000" w:themeColor="text1"/>
          <w:sz w:val="20"/>
          <w:szCs w:val="20"/>
          <w:highlight w:val="yellow"/>
        </w:rPr>
        <w:t>xx</w:t>
      </w:r>
      <w:r w:rsidRPr="00801407">
        <w:rPr>
          <w:rFonts w:ascii="Verdana" w:eastAsia="Verdana" w:hAnsi="Verdana" w:cs="Verdana"/>
          <w:color w:val="000000" w:themeColor="text1"/>
          <w:sz w:val="20"/>
          <w:szCs w:val="20"/>
        </w:rPr>
        <w:t xml:space="preserve"> de </w:t>
      </w:r>
      <w:r w:rsidR="006921BF" w:rsidRPr="00801407">
        <w:rPr>
          <w:rFonts w:ascii="Verdana" w:eastAsia="Verdana" w:hAnsi="Verdana" w:cs="Verdana"/>
          <w:color w:val="000000" w:themeColor="text1"/>
          <w:sz w:val="20"/>
          <w:szCs w:val="20"/>
        </w:rPr>
        <w:t xml:space="preserve">xxxx </w:t>
      </w:r>
      <w:r w:rsidRPr="00801407">
        <w:rPr>
          <w:rFonts w:ascii="Verdana" w:eastAsia="Verdana" w:hAnsi="Verdana" w:cs="Verdana"/>
          <w:color w:val="000000" w:themeColor="text1"/>
          <w:sz w:val="20"/>
          <w:szCs w:val="20"/>
        </w:rPr>
        <w:t xml:space="preserve">de </w:t>
      </w:r>
      <w:r w:rsidR="006921BF" w:rsidRPr="00801407">
        <w:rPr>
          <w:rFonts w:ascii="Verdana" w:eastAsia="Verdana" w:hAnsi="Verdana" w:cs="Verdana"/>
          <w:color w:val="000000" w:themeColor="text1"/>
          <w:sz w:val="20"/>
          <w:szCs w:val="20"/>
        </w:rPr>
        <w:t>xxxx</w:t>
      </w:r>
      <w:r w:rsidRPr="00801407">
        <w:rPr>
          <w:rFonts w:ascii="Verdana" w:eastAsia="Verdana" w:hAnsi="Verdana" w:cs="Verdana"/>
          <w:color w:val="000000" w:themeColor="text1"/>
          <w:sz w:val="20"/>
          <w:szCs w:val="20"/>
        </w:rPr>
        <w:t xml:space="preserve">, aprobó </w:t>
      </w:r>
      <w:r w:rsidR="00686FEC" w:rsidRPr="00801407">
        <w:rPr>
          <w:rFonts w:ascii="Verdana" w:eastAsia="Verdana" w:hAnsi="Verdana" w:cs="Verdana"/>
          <w:color w:val="000000" w:themeColor="text1"/>
          <w:sz w:val="20"/>
          <w:szCs w:val="20"/>
        </w:rPr>
        <w:t>la derogación de l</w:t>
      </w:r>
      <w:r w:rsidR="00521437" w:rsidRPr="00801407">
        <w:rPr>
          <w:rFonts w:ascii="Verdana" w:eastAsia="Verdana" w:hAnsi="Verdana" w:cs="Verdana"/>
          <w:color w:val="000000" w:themeColor="text1"/>
          <w:sz w:val="20"/>
          <w:szCs w:val="20"/>
        </w:rPr>
        <w:t>o</w:t>
      </w:r>
      <w:r w:rsidR="00686FEC" w:rsidRPr="00801407">
        <w:rPr>
          <w:rFonts w:ascii="Verdana" w:eastAsia="Verdana" w:hAnsi="Verdana" w:cs="Verdana"/>
          <w:color w:val="000000" w:themeColor="text1"/>
          <w:sz w:val="20"/>
          <w:szCs w:val="20"/>
        </w:rPr>
        <w:t xml:space="preserve">s </w:t>
      </w:r>
      <w:r w:rsidR="00521437" w:rsidRPr="00801407">
        <w:rPr>
          <w:rFonts w:ascii="Verdana" w:eastAsia="Verdana" w:hAnsi="Verdana" w:cs="Verdana"/>
          <w:color w:val="000000" w:themeColor="text1"/>
          <w:sz w:val="20"/>
          <w:szCs w:val="20"/>
        </w:rPr>
        <w:t>actos administrativos y disposiciones de regulación interna de carácter general y abstracto</w:t>
      </w:r>
      <w:r w:rsidR="00CA712D" w:rsidRPr="00801407">
        <w:rPr>
          <w:rFonts w:ascii="Verdana" w:eastAsia="Verdana" w:hAnsi="Verdana" w:cs="Verdana"/>
          <w:color w:val="000000" w:themeColor="text1"/>
          <w:sz w:val="20"/>
          <w:szCs w:val="20"/>
        </w:rPr>
        <w:t xml:space="preserve"> incluidas en la presente depuración normativa</w:t>
      </w:r>
      <w:r w:rsidRPr="00801407">
        <w:rPr>
          <w:rFonts w:ascii="Verdana" w:eastAsia="Verdana" w:hAnsi="Verdana" w:cs="Verdana"/>
          <w:color w:val="000000" w:themeColor="text1"/>
          <w:sz w:val="20"/>
          <w:szCs w:val="20"/>
        </w:rPr>
        <w:t xml:space="preserve">, tal como consta en el acta No. </w:t>
      </w:r>
      <w:r w:rsidR="00CA712D" w:rsidRPr="00801407">
        <w:rPr>
          <w:rFonts w:ascii="Verdana" w:eastAsia="Verdana" w:hAnsi="Verdana" w:cs="Verdana"/>
          <w:color w:val="000000" w:themeColor="text1"/>
          <w:sz w:val="20"/>
          <w:szCs w:val="20"/>
          <w:highlight w:val="yellow"/>
        </w:rPr>
        <w:t>X</w:t>
      </w:r>
      <w:r w:rsidR="00686FEC" w:rsidRPr="00801407">
        <w:rPr>
          <w:rFonts w:ascii="Verdana" w:eastAsia="Verdana" w:hAnsi="Verdana" w:cs="Verdana"/>
          <w:color w:val="000000" w:themeColor="text1"/>
          <w:sz w:val="20"/>
          <w:szCs w:val="20"/>
          <w:highlight w:val="yellow"/>
        </w:rPr>
        <w:t>x</w:t>
      </w:r>
      <w:r w:rsidR="00CA712D" w:rsidRPr="00801407">
        <w:rPr>
          <w:rFonts w:ascii="Verdana" w:eastAsia="Verdana" w:hAnsi="Verdana" w:cs="Verdana"/>
          <w:color w:val="000000" w:themeColor="text1"/>
          <w:sz w:val="20"/>
          <w:szCs w:val="20"/>
          <w:highlight w:val="yellow"/>
        </w:rPr>
        <w:t xml:space="preserve"> </w:t>
      </w:r>
      <w:r w:rsidR="00CA712D" w:rsidRPr="00801407">
        <w:rPr>
          <w:rFonts w:ascii="Verdana" w:eastAsia="Verdana" w:hAnsi="Verdana" w:cs="Verdana"/>
          <w:color w:val="000000" w:themeColor="text1"/>
          <w:sz w:val="20"/>
          <w:szCs w:val="20"/>
        </w:rPr>
        <w:t>de la misma fecha</w:t>
      </w:r>
      <w:r w:rsidRPr="00801407">
        <w:rPr>
          <w:rFonts w:ascii="Verdana" w:eastAsia="Verdana" w:hAnsi="Verdana" w:cs="Verdana"/>
          <w:color w:val="000000" w:themeColor="text1"/>
          <w:sz w:val="20"/>
          <w:szCs w:val="20"/>
        </w:rPr>
        <w:t>.</w:t>
      </w:r>
    </w:p>
    <w:p w14:paraId="5E152A29" w14:textId="77777777" w:rsidR="001A1316" w:rsidRPr="00801407" w:rsidRDefault="001A1316" w:rsidP="001A1316">
      <w:pPr>
        <w:tabs>
          <w:tab w:val="left" w:pos="9214"/>
        </w:tabs>
        <w:spacing w:after="0" w:line="240" w:lineRule="auto"/>
        <w:ind w:right="49"/>
        <w:jc w:val="both"/>
        <w:rPr>
          <w:rFonts w:ascii="Verdana" w:eastAsia="Verdana" w:hAnsi="Verdana" w:cs="Verdana"/>
          <w:color w:val="000000" w:themeColor="text1"/>
          <w:sz w:val="20"/>
          <w:szCs w:val="20"/>
        </w:rPr>
      </w:pPr>
    </w:p>
    <w:p w14:paraId="5FE6DC45" w14:textId="4CAB2E1F" w:rsidR="00AE1473" w:rsidRPr="00801407" w:rsidRDefault="00C15CC1" w:rsidP="001A1316">
      <w:pPr>
        <w:tabs>
          <w:tab w:val="left" w:pos="9214"/>
        </w:tabs>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color w:val="000000" w:themeColor="text1"/>
          <w:sz w:val="20"/>
          <w:szCs w:val="20"/>
        </w:rPr>
        <w:t>Que en mérito de lo expuesto,</w:t>
      </w:r>
    </w:p>
    <w:p w14:paraId="369D3B67" w14:textId="77777777" w:rsidR="00AE1473" w:rsidRPr="00801407" w:rsidRDefault="00AE1473" w:rsidP="001A1316">
      <w:pPr>
        <w:tabs>
          <w:tab w:val="left" w:pos="9214"/>
        </w:tabs>
        <w:spacing w:after="0" w:line="240" w:lineRule="auto"/>
        <w:ind w:right="49"/>
        <w:jc w:val="both"/>
        <w:rPr>
          <w:rFonts w:ascii="Verdana" w:eastAsia="Verdana" w:hAnsi="Verdana" w:cs="Verdana"/>
          <w:color w:val="000000" w:themeColor="text1"/>
          <w:sz w:val="20"/>
          <w:szCs w:val="20"/>
        </w:rPr>
      </w:pPr>
    </w:p>
    <w:p w14:paraId="175F8EA9" w14:textId="3FEF5498" w:rsidR="00AE1473" w:rsidRPr="00801407" w:rsidRDefault="00C15CC1">
      <w:pPr>
        <w:widowControl w:val="0"/>
        <w:tabs>
          <w:tab w:val="left" w:pos="3118"/>
          <w:tab w:val="left" w:pos="9360"/>
        </w:tabs>
        <w:spacing w:after="283" w:line="240" w:lineRule="auto"/>
        <w:ind w:right="49"/>
        <w:jc w:val="center"/>
        <w:rPr>
          <w:rFonts w:ascii="Verdana" w:eastAsia="Verdana" w:hAnsi="Verdana" w:cs="Verdana"/>
          <w:b/>
          <w:sz w:val="20"/>
          <w:szCs w:val="20"/>
        </w:rPr>
      </w:pPr>
      <w:r w:rsidRPr="00801407">
        <w:rPr>
          <w:rFonts w:ascii="Verdana" w:eastAsia="Verdana" w:hAnsi="Verdana" w:cs="Verdana"/>
          <w:b/>
          <w:sz w:val="20"/>
          <w:szCs w:val="20"/>
        </w:rPr>
        <w:t>RESUELVE</w:t>
      </w:r>
      <w:r w:rsidR="0067396D">
        <w:rPr>
          <w:rFonts w:ascii="Verdana" w:eastAsia="Verdana" w:hAnsi="Verdana" w:cs="Verdana"/>
          <w:b/>
          <w:sz w:val="20"/>
          <w:szCs w:val="20"/>
        </w:rPr>
        <w:t>:</w:t>
      </w:r>
    </w:p>
    <w:p w14:paraId="0BD14ACC" w14:textId="48759E17" w:rsidR="008C7386" w:rsidRPr="00801407" w:rsidRDefault="00C15CC1" w:rsidP="001E1B4A">
      <w:pPr>
        <w:spacing w:after="0" w:line="240" w:lineRule="auto"/>
        <w:ind w:right="49"/>
        <w:jc w:val="both"/>
        <w:rPr>
          <w:rFonts w:ascii="Verdana" w:eastAsia="Verdana" w:hAnsi="Verdana" w:cs="Verdana"/>
          <w:color w:val="000000" w:themeColor="text1"/>
          <w:sz w:val="20"/>
          <w:szCs w:val="20"/>
        </w:rPr>
      </w:pPr>
      <w:r w:rsidRPr="00801407">
        <w:rPr>
          <w:rFonts w:ascii="Verdana" w:eastAsia="Verdana" w:hAnsi="Verdana" w:cs="Verdana"/>
          <w:b/>
          <w:sz w:val="20"/>
          <w:szCs w:val="20"/>
        </w:rPr>
        <w:t xml:space="preserve">ARTÍCULO </w:t>
      </w:r>
      <w:r w:rsidR="004449E0" w:rsidRPr="00801407">
        <w:rPr>
          <w:rFonts w:ascii="Verdana" w:eastAsia="Verdana" w:hAnsi="Verdana" w:cs="Verdana"/>
          <w:b/>
          <w:sz w:val="20"/>
          <w:szCs w:val="20"/>
        </w:rPr>
        <w:t>PRIMERO</w:t>
      </w:r>
      <w:r w:rsidRPr="00801407">
        <w:rPr>
          <w:rFonts w:ascii="Verdana" w:eastAsia="Verdana" w:hAnsi="Verdana" w:cs="Verdana"/>
          <w:b/>
          <w:sz w:val="20"/>
          <w:szCs w:val="20"/>
        </w:rPr>
        <w:t>.</w:t>
      </w:r>
      <w:r w:rsidRPr="00801407">
        <w:rPr>
          <w:rFonts w:ascii="Verdana" w:eastAsia="Verdana" w:hAnsi="Verdana" w:cs="Verdana"/>
          <w:sz w:val="20"/>
          <w:szCs w:val="20"/>
        </w:rPr>
        <w:t xml:space="preserve"> </w:t>
      </w:r>
      <w:r w:rsidR="00FB79C7" w:rsidRPr="008A09E4">
        <w:rPr>
          <w:rFonts w:ascii="Verdana" w:eastAsia="Verdana" w:hAnsi="Verdana" w:cs="Verdana"/>
          <w:b/>
          <w:bCs/>
          <w:sz w:val="20"/>
          <w:szCs w:val="20"/>
        </w:rPr>
        <w:t xml:space="preserve">Depuración de normas por </w:t>
      </w:r>
      <w:r w:rsidR="006D0788" w:rsidRPr="008A09E4">
        <w:rPr>
          <w:rFonts w:ascii="Verdana" w:eastAsia="Verdana" w:hAnsi="Verdana" w:cs="Verdana"/>
          <w:b/>
          <w:bCs/>
          <w:sz w:val="20"/>
          <w:szCs w:val="20"/>
        </w:rPr>
        <w:t>haber sido objeto de derogatorias</w:t>
      </w:r>
      <w:r w:rsidR="006D0788" w:rsidRPr="00801407">
        <w:rPr>
          <w:rFonts w:ascii="Verdana" w:eastAsia="Verdana" w:hAnsi="Verdana" w:cs="Verdana"/>
          <w:sz w:val="20"/>
          <w:szCs w:val="20"/>
        </w:rPr>
        <w:t xml:space="preserve"> </w:t>
      </w:r>
      <w:r w:rsidR="006D0788" w:rsidRPr="008A09E4">
        <w:rPr>
          <w:rFonts w:ascii="Verdana" w:eastAsia="Verdana" w:hAnsi="Verdana" w:cs="Verdana"/>
          <w:b/>
          <w:bCs/>
          <w:sz w:val="20"/>
          <w:szCs w:val="20"/>
        </w:rPr>
        <w:t>orgánicas no expresas en cuanto a su alcance, que llevan a que carezcan actualmente de objeto</w:t>
      </w:r>
      <w:r w:rsidR="00FB79C7" w:rsidRPr="008A09E4">
        <w:rPr>
          <w:rFonts w:ascii="Verdana" w:eastAsia="Verdana" w:hAnsi="Verdana" w:cs="Verdana"/>
          <w:b/>
          <w:bCs/>
          <w:sz w:val="20"/>
          <w:szCs w:val="20"/>
        </w:rPr>
        <w:t>.</w:t>
      </w:r>
      <w:r w:rsidR="00FB79C7" w:rsidRPr="00801407">
        <w:rPr>
          <w:rFonts w:ascii="Verdana" w:eastAsia="Verdana" w:hAnsi="Verdana" w:cs="Verdana"/>
          <w:sz w:val="20"/>
          <w:szCs w:val="20"/>
        </w:rPr>
        <w:t xml:space="preserve"> </w:t>
      </w:r>
      <w:r w:rsidR="0096552A" w:rsidRPr="00801407">
        <w:rPr>
          <w:rFonts w:ascii="Verdana" w:eastAsia="Verdana" w:hAnsi="Verdana" w:cs="Verdana"/>
          <w:sz w:val="20"/>
          <w:szCs w:val="20"/>
        </w:rPr>
        <w:t xml:space="preserve">Establecer la derogatoria expresa </w:t>
      </w:r>
      <w:r w:rsidR="00801407" w:rsidRPr="00801407">
        <w:rPr>
          <w:rFonts w:ascii="Verdana" w:eastAsia="Verdana" w:hAnsi="Verdana" w:cs="Verdana"/>
          <w:sz w:val="20"/>
          <w:szCs w:val="20"/>
        </w:rPr>
        <w:t>del siguiente</w:t>
      </w:r>
      <w:r w:rsidR="008C7386" w:rsidRPr="00801407">
        <w:rPr>
          <w:rFonts w:ascii="Verdana" w:eastAsia="Verdana" w:hAnsi="Verdana" w:cs="Verdana"/>
          <w:sz w:val="20"/>
          <w:szCs w:val="20"/>
        </w:rPr>
        <w:t xml:space="preserve"> </w:t>
      </w:r>
      <w:r w:rsidR="008C7386" w:rsidRPr="00801407">
        <w:rPr>
          <w:rFonts w:ascii="Verdana" w:eastAsia="Verdana" w:hAnsi="Verdana" w:cs="Verdana"/>
          <w:color w:val="000000" w:themeColor="text1"/>
          <w:sz w:val="20"/>
          <w:szCs w:val="20"/>
        </w:rPr>
        <w:t xml:space="preserve">acto administrativo y disposiciones de regulación interna del </w:t>
      </w:r>
      <w:r w:rsidR="00F45B7A" w:rsidRPr="00801407">
        <w:rPr>
          <w:rFonts w:ascii="Verdana" w:eastAsia="Verdana" w:hAnsi="Verdana" w:cs="Verdana"/>
          <w:color w:val="000000" w:themeColor="text1"/>
          <w:sz w:val="20"/>
          <w:szCs w:val="20"/>
        </w:rPr>
        <w:t xml:space="preserve">Ministerio de Ciencia, Tecnología e Innovación </w:t>
      </w:r>
      <w:r w:rsidR="008C7386" w:rsidRPr="00801407">
        <w:rPr>
          <w:rFonts w:ascii="Verdana" w:eastAsia="Verdana" w:hAnsi="Verdana" w:cs="Verdana"/>
          <w:color w:val="000000" w:themeColor="text1"/>
          <w:sz w:val="20"/>
          <w:szCs w:val="20"/>
        </w:rPr>
        <w:t>de carácter general y abstracto</w:t>
      </w:r>
      <w:r w:rsidR="00895F9C" w:rsidRPr="00801407">
        <w:rPr>
          <w:rFonts w:ascii="Verdana" w:eastAsia="Verdana" w:hAnsi="Verdana" w:cs="Verdana"/>
          <w:color w:val="000000" w:themeColor="text1"/>
          <w:sz w:val="20"/>
          <w:szCs w:val="20"/>
        </w:rPr>
        <w:t xml:space="preserve">, </w:t>
      </w:r>
      <w:r w:rsidR="00895F9C" w:rsidRPr="00801407">
        <w:rPr>
          <w:rFonts w:ascii="Verdana" w:eastAsia="Verdana" w:hAnsi="Verdana" w:cs="Verdana"/>
          <w:sz w:val="20"/>
          <w:szCs w:val="20"/>
        </w:rPr>
        <w:t>en aplicación de ese criterio de depuración normativa</w:t>
      </w:r>
      <w:r w:rsidR="00F45B7A" w:rsidRPr="00801407">
        <w:rPr>
          <w:rFonts w:ascii="Verdana" w:eastAsia="Verdana" w:hAnsi="Verdana" w:cs="Verdana"/>
          <w:color w:val="000000" w:themeColor="text1"/>
          <w:sz w:val="20"/>
          <w:szCs w:val="20"/>
        </w:rPr>
        <w:t>:</w:t>
      </w:r>
    </w:p>
    <w:p w14:paraId="292B477C" w14:textId="77777777" w:rsidR="00F45B7A" w:rsidRPr="00801407" w:rsidRDefault="00F45B7A" w:rsidP="001E1B4A">
      <w:pPr>
        <w:spacing w:after="0" w:line="240" w:lineRule="auto"/>
        <w:ind w:right="49"/>
        <w:jc w:val="both"/>
        <w:rPr>
          <w:rFonts w:ascii="Verdana" w:eastAsia="Verdana" w:hAnsi="Verdana" w:cs="Verdana"/>
          <w:color w:val="000000" w:themeColor="text1"/>
          <w:sz w:val="20"/>
          <w:szCs w:val="20"/>
        </w:rPr>
      </w:pPr>
    </w:p>
    <w:p w14:paraId="3FCEDF4E" w14:textId="691EF3DB" w:rsidR="00523B27" w:rsidRPr="00801407" w:rsidRDefault="00300889" w:rsidP="00F45B7A">
      <w:pPr>
        <w:pStyle w:val="Prrafodelista"/>
        <w:numPr>
          <w:ilvl w:val="0"/>
          <w:numId w:val="2"/>
        </w:numPr>
        <w:spacing w:after="0" w:line="240" w:lineRule="auto"/>
        <w:ind w:right="49"/>
        <w:jc w:val="both"/>
        <w:rPr>
          <w:rFonts w:ascii="Verdana" w:eastAsia="Verdana" w:hAnsi="Verdana" w:cs="Verdana"/>
          <w:sz w:val="20"/>
          <w:szCs w:val="20"/>
        </w:rPr>
      </w:pPr>
      <w:r w:rsidRPr="00801407">
        <w:rPr>
          <w:rFonts w:ascii="Verdana" w:eastAsia="Verdana" w:hAnsi="Verdana" w:cs="Verdana"/>
          <w:sz w:val="20"/>
          <w:szCs w:val="20"/>
        </w:rPr>
        <w:t xml:space="preserve">Resolución 0445 de 2015 </w:t>
      </w:r>
      <w:r w:rsidR="001E1B4A" w:rsidRPr="00801407">
        <w:rPr>
          <w:rFonts w:ascii="Verdana" w:eastAsia="Verdana" w:hAnsi="Verdana" w:cs="Verdana"/>
          <w:i/>
          <w:iCs/>
          <w:sz w:val="20"/>
          <w:szCs w:val="20"/>
        </w:rPr>
        <w:t>“Por la cual se adoptan los Lineamientos Generales de los Planes y Acuerdos Estratégicos Departamentales en CTeI”</w:t>
      </w:r>
      <w:r w:rsidR="001E1B4A" w:rsidRPr="00801407">
        <w:rPr>
          <w:rFonts w:ascii="Verdana" w:eastAsia="Verdana" w:hAnsi="Verdana" w:cs="Verdana"/>
          <w:sz w:val="20"/>
          <w:szCs w:val="20"/>
        </w:rPr>
        <w:t xml:space="preserve"> </w:t>
      </w:r>
      <w:r w:rsidR="00744101" w:rsidRPr="00801407">
        <w:rPr>
          <w:rFonts w:ascii="Verdana" w:eastAsia="Verdana" w:hAnsi="Verdana" w:cs="Verdana"/>
          <w:sz w:val="20"/>
          <w:szCs w:val="20"/>
        </w:rPr>
        <w:t xml:space="preserve">por </w:t>
      </w:r>
      <w:r w:rsidR="0071153B" w:rsidRPr="00801407">
        <w:rPr>
          <w:rFonts w:ascii="Verdana" w:eastAsia="Verdana" w:hAnsi="Verdana" w:cs="Verdana"/>
          <w:sz w:val="20"/>
          <w:szCs w:val="20"/>
        </w:rPr>
        <w:t xml:space="preserve">carecer actualmente de objeto de conformidad con </w:t>
      </w:r>
      <w:r w:rsidR="00496BA4" w:rsidRPr="00801407">
        <w:rPr>
          <w:rFonts w:ascii="Verdana" w:eastAsia="Verdana" w:hAnsi="Verdana" w:cs="Verdana"/>
          <w:sz w:val="20"/>
          <w:szCs w:val="20"/>
        </w:rPr>
        <w:t xml:space="preserve">la derogatoria expresa del artículo 7 de la </w:t>
      </w:r>
      <w:r w:rsidR="00BD2644" w:rsidRPr="00801407">
        <w:rPr>
          <w:rFonts w:ascii="Verdana" w:eastAsia="Verdana" w:hAnsi="Verdana" w:cs="Verdana"/>
          <w:sz w:val="20"/>
          <w:szCs w:val="20"/>
        </w:rPr>
        <w:t xml:space="preserve">Ley 1753 de 2015 </w:t>
      </w:r>
      <w:r w:rsidR="00BD2644" w:rsidRPr="00801407">
        <w:rPr>
          <w:rFonts w:ascii="Verdana" w:eastAsia="Verdana" w:hAnsi="Verdana" w:cs="Verdana"/>
          <w:i/>
          <w:iCs/>
          <w:sz w:val="20"/>
          <w:szCs w:val="20"/>
        </w:rPr>
        <w:t>“Plan Nacional de Desarrollo 2014-2018”</w:t>
      </w:r>
      <w:r w:rsidR="00BD2644" w:rsidRPr="00801407">
        <w:rPr>
          <w:rFonts w:ascii="Verdana" w:eastAsia="Verdana" w:hAnsi="Verdana" w:cs="Verdana"/>
          <w:sz w:val="20"/>
          <w:szCs w:val="20"/>
        </w:rPr>
        <w:t xml:space="preserve"> hecha por la </w:t>
      </w:r>
      <w:r w:rsidR="00496BA4" w:rsidRPr="00801407">
        <w:rPr>
          <w:rFonts w:ascii="Verdana" w:eastAsia="Verdana" w:hAnsi="Verdana" w:cs="Verdana"/>
          <w:sz w:val="20"/>
          <w:szCs w:val="20"/>
        </w:rPr>
        <w:t xml:space="preserve">Ley 1955 de 2019 </w:t>
      </w:r>
      <w:r w:rsidR="00496BA4" w:rsidRPr="00801407">
        <w:rPr>
          <w:rFonts w:ascii="Verdana" w:eastAsia="Verdana" w:hAnsi="Verdana" w:cs="Verdana"/>
          <w:i/>
          <w:iCs/>
          <w:sz w:val="20"/>
          <w:szCs w:val="20"/>
        </w:rPr>
        <w:t>“Por el cual se expide el Plan Nacional de Desarrollo 2018-2022</w:t>
      </w:r>
      <w:r w:rsidR="00D77A49" w:rsidRPr="00801407">
        <w:rPr>
          <w:rFonts w:ascii="Verdana" w:eastAsia="Verdana" w:hAnsi="Verdana" w:cs="Verdana"/>
          <w:i/>
          <w:iCs/>
          <w:sz w:val="20"/>
          <w:szCs w:val="20"/>
        </w:rPr>
        <w:t xml:space="preserve">, </w:t>
      </w:r>
      <w:r w:rsidR="00D77A49" w:rsidRPr="00801407">
        <w:rPr>
          <w:rFonts w:ascii="Verdana" w:eastAsia="Verdana" w:hAnsi="Verdana" w:cs="Verdana"/>
          <w:sz w:val="20"/>
          <w:szCs w:val="20"/>
        </w:rPr>
        <w:t xml:space="preserve">de conformidad con lo señalado en la parte motiva de la presente resolución. </w:t>
      </w:r>
      <w:r w:rsidR="006912C6" w:rsidRPr="00801407">
        <w:rPr>
          <w:rFonts w:ascii="Verdana" w:eastAsia="Verdana" w:hAnsi="Verdana" w:cs="Verdana"/>
          <w:sz w:val="20"/>
          <w:szCs w:val="20"/>
        </w:rPr>
        <w:t xml:space="preserve"> </w:t>
      </w:r>
    </w:p>
    <w:p w14:paraId="76774618" w14:textId="77777777" w:rsidR="00496BA4" w:rsidRPr="00801407" w:rsidRDefault="00496BA4" w:rsidP="001E1B4A">
      <w:pPr>
        <w:spacing w:after="0" w:line="240" w:lineRule="auto"/>
        <w:ind w:right="49"/>
        <w:jc w:val="both"/>
        <w:rPr>
          <w:rFonts w:ascii="Verdana" w:eastAsia="Verdana" w:hAnsi="Verdana" w:cs="Verdana"/>
          <w:sz w:val="20"/>
          <w:szCs w:val="20"/>
        </w:rPr>
      </w:pPr>
    </w:p>
    <w:p w14:paraId="10E25658" w14:textId="560451C1" w:rsidR="00CF2035" w:rsidRPr="00801407" w:rsidRDefault="003550ED" w:rsidP="003550ED">
      <w:pPr>
        <w:spacing w:after="0" w:line="240" w:lineRule="auto"/>
        <w:ind w:right="49"/>
        <w:jc w:val="both"/>
        <w:rPr>
          <w:rFonts w:ascii="Verdana" w:eastAsia="Verdana" w:hAnsi="Verdana" w:cs="Verdana"/>
          <w:sz w:val="20"/>
          <w:szCs w:val="20"/>
        </w:rPr>
      </w:pPr>
      <w:r w:rsidRPr="00801407">
        <w:rPr>
          <w:rFonts w:ascii="Verdana" w:eastAsia="Verdana" w:hAnsi="Verdana" w:cs="Verdana"/>
          <w:b/>
          <w:sz w:val="20"/>
          <w:szCs w:val="20"/>
        </w:rPr>
        <w:t>ARTÍCULO SEGUNDO.</w:t>
      </w:r>
      <w:r w:rsidRPr="00801407">
        <w:rPr>
          <w:rFonts w:ascii="Verdana" w:eastAsia="Verdana" w:hAnsi="Verdana" w:cs="Verdana"/>
          <w:sz w:val="20"/>
          <w:szCs w:val="20"/>
        </w:rPr>
        <w:t xml:space="preserve"> </w:t>
      </w:r>
      <w:r w:rsidR="00495DF0" w:rsidRPr="00801407">
        <w:rPr>
          <w:rFonts w:ascii="Verdana" w:eastAsia="Verdana" w:hAnsi="Verdana" w:cs="Verdana"/>
          <w:b/>
          <w:bCs/>
          <w:sz w:val="20"/>
          <w:szCs w:val="20"/>
        </w:rPr>
        <w:t>intangibilidad de los efectos jurídicos causados.</w:t>
      </w:r>
      <w:r w:rsidR="00495DF0" w:rsidRPr="00801407">
        <w:rPr>
          <w:rFonts w:ascii="Verdana" w:eastAsia="Verdana" w:hAnsi="Verdana" w:cs="Verdana"/>
          <w:sz w:val="20"/>
          <w:szCs w:val="20"/>
        </w:rPr>
        <w:t xml:space="preserve"> </w:t>
      </w:r>
      <w:r w:rsidR="00CF2035" w:rsidRPr="00801407">
        <w:rPr>
          <w:rFonts w:ascii="Verdana" w:eastAsia="Verdana" w:hAnsi="Verdana" w:cs="Verdana"/>
          <w:sz w:val="20"/>
          <w:szCs w:val="20"/>
        </w:rPr>
        <w:t>La derogatoria expresa de la resolución a que se refiere el artículo anterior, no afecta ni modifica las situaciones jurídicas concretas, ni los derechos adquiridos que se hayan consolidado durante cada uno de los períodos de vigencia individual, ni las decisiones judiciales ejecutoriadas que se hayan dictado con fundamento en dich</w:t>
      </w:r>
      <w:r w:rsidR="00495DF0" w:rsidRPr="00801407">
        <w:rPr>
          <w:rFonts w:ascii="Verdana" w:eastAsia="Verdana" w:hAnsi="Verdana" w:cs="Verdana"/>
          <w:sz w:val="20"/>
          <w:szCs w:val="20"/>
        </w:rPr>
        <w:t xml:space="preserve">a disposición normativa, ni los actos administrativos, procedimientos y actuaciones administrativas que se hubieren materializado. </w:t>
      </w:r>
    </w:p>
    <w:p w14:paraId="3A5EF8A4" w14:textId="77777777" w:rsidR="00CF2035" w:rsidRPr="00801407" w:rsidRDefault="00CF2035" w:rsidP="003550ED">
      <w:pPr>
        <w:spacing w:after="0" w:line="240" w:lineRule="auto"/>
        <w:ind w:right="49"/>
        <w:jc w:val="both"/>
        <w:rPr>
          <w:rFonts w:ascii="Verdana" w:eastAsia="Verdana" w:hAnsi="Verdana" w:cs="Verdana"/>
          <w:sz w:val="20"/>
          <w:szCs w:val="20"/>
        </w:rPr>
      </w:pPr>
    </w:p>
    <w:p w14:paraId="74887977" w14:textId="4682830B" w:rsidR="006912C6" w:rsidRPr="00801407" w:rsidRDefault="00CF2035" w:rsidP="003550ED">
      <w:pPr>
        <w:spacing w:after="0" w:line="240" w:lineRule="auto"/>
        <w:ind w:right="49"/>
        <w:jc w:val="both"/>
        <w:rPr>
          <w:rFonts w:ascii="Verdana" w:eastAsia="Verdana" w:hAnsi="Verdana" w:cs="Verdana"/>
          <w:sz w:val="20"/>
          <w:szCs w:val="20"/>
        </w:rPr>
      </w:pPr>
      <w:r w:rsidRPr="00801407">
        <w:rPr>
          <w:rFonts w:ascii="Verdana" w:eastAsia="Verdana" w:hAnsi="Verdana" w:cs="Verdana"/>
          <w:b/>
          <w:sz w:val="20"/>
          <w:szCs w:val="20"/>
        </w:rPr>
        <w:t xml:space="preserve">ARTÍCULO TERCERO. </w:t>
      </w:r>
      <w:r w:rsidR="00495DF0" w:rsidRPr="00801407">
        <w:rPr>
          <w:rFonts w:ascii="Verdana" w:eastAsia="Verdana" w:hAnsi="Verdana" w:cs="Verdana"/>
          <w:b/>
          <w:sz w:val="20"/>
          <w:szCs w:val="20"/>
        </w:rPr>
        <w:t>vigencia y derogatorias</w:t>
      </w:r>
      <w:r w:rsidR="00E76062" w:rsidRPr="00801407">
        <w:rPr>
          <w:rFonts w:ascii="Verdana" w:eastAsia="Verdana" w:hAnsi="Verdana" w:cs="Verdana"/>
          <w:sz w:val="20"/>
          <w:szCs w:val="20"/>
        </w:rPr>
        <w:t xml:space="preserve">. La presente </w:t>
      </w:r>
      <w:r w:rsidR="009F721F" w:rsidRPr="00801407">
        <w:rPr>
          <w:rFonts w:ascii="Verdana" w:eastAsia="Verdana" w:hAnsi="Verdana" w:cs="Verdana"/>
          <w:sz w:val="20"/>
          <w:szCs w:val="20"/>
        </w:rPr>
        <w:t xml:space="preserve">resolución rige a partir de la fecha de su publicación y deroga expresamente la </w:t>
      </w:r>
      <w:r w:rsidR="00B840E5" w:rsidRPr="00801407">
        <w:rPr>
          <w:rFonts w:ascii="Verdana" w:eastAsia="Verdana" w:hAnsi="Verdana" w:cs="Verdana"/>
          <w:sz w:val="20"/>
          <w:szCs w:val="20"/>
        </w:rPr>
        <w:t>Resoluci</w:t>
      </w:r>
      <w:r w:rsidR="00BC4400" w:rsidRPr="00801407">
        <w:rPr>
          <w:rFonts w:ascii="Verdana" w:eastAsia="Verdana" w:hAnsi="Verdana" w:cs="Verdana"/>
          <w:sz w:val="20"/>
          <w:szCs w:val="20"/>
        </w:rPr>
        <w:t>ón</w:t>
      </w:r>
      <w:r w:rsidR="00B840E5" w:rsidRPr="00801407">
        <w:rPr>
          <w:rFonts w:ascii="Verdana" w:eastAsia="Verdana" w:hAnsi="Verdana" w:cs="Verdana"/>
          <w:sz w:val="20"/>
          <w:szCs w:val="20"/>
        </w:rPr>
        <w:t xml:space="preserve"> 0445 de 2015 </w:t>
      </w:r>
    </w:p>
    <w:p w14:paraId="3D36B071" w14:textId="77777777" w:rsidR="005B54C9" w:rsidRPr="00801407" w:rsidRDefault="005B54C9">
      <w:pPr>
        <w:pBdr>
          <w:top w:val="nil"/>
          <w:left w:val="nil"/>
          <w:bottom w:val="nil"/>
          <w:right w:val="nil"/>
          <w:between w:val="nil"/>
        </w:pBdr>
        <w:shd w:val="clear" w:color="auto" w:fill="FFFFFF"/>
        <w:spacing w:line="240" w:lineRule="auto"/>
        <w:ind w:right="49"/>
        <w:jc w:val="both"/>
        <w:rPr>
          <w:rFonts w:ascii="Verdana" w:eastAsia="Verdana" w:hAnsi="Verdana" w:cs="Verdana"/>
          <w:color w:val="000000"/>
          <w:sz w:val="20"/>
          <w:szCs w:val="20"/>
        </w:rPr>
      </w:pPr>
    </w:p>
    <w:p w14:paraId="45835DFF" w14:textId="62B46294" w:rsidR="00AE1473" w:rsidRPr="00801407" w:rsidRDefault="00C15CC1">
      <w:pPr>
        <w:pBdr>
          <w:top w:val="nil"/>
          <w:left w:val="nil"/>
          <w:bottom w:val="nil"/>
          <w:right w:val="nil"/>
          <w:between w:val="nil"/>
        </w:pBdr>
        <w:shd w:val="clear" w:color="auto" w:fill="FFFFFF"/>
        <w:spacing w:line="240" w:lineRule="auto"/>
        <w:ind w:right="49"/>
        <w:jc w:val="both"/>
        <w:rPr>
          <w:rFonts w:ascii="Verdana" w:eastAsia="Verdana" w:hAnsi="Verdana" w:cs="Verdana"/>
          <w:color w:val="000000"/>
          <w:sz w:val="20"/>
          <w:szCs w:val="20"/>
        </w:rPr>
      </w:pPr>
      <w:r w:rsidRPr="00801407">
        <w:rPr>
          <w:rFonts w:ascii="Verdana" w:eastAsia="Verdana" w:hAnsi="Verdana" w:cs="Verdana"/>
          <w:color w:val="000000"/>
          <w:sz w:val="20"/>
          <w:szCs w:val="20"/>
        </w:rPr>
        <w:t xml:space="preserve">Dado en Bogotá D.C., a los </w:t>
      </w:r>
      <w:r w:rsidR="009D1C5D" w:rsidRPr="00801407">
        <w:rPr>
          <w:rFonts w:ascii="Verdana" w:eastAsia="Verdana" w:hAnsi="Verdana" w:cs="Verdana"/>
          <w:color w:val="000000"/>
          <w:sz w:val="20"/>
          <w:szCs w:val="20"/>
          <w:highlight w:val="yellow"/>
        </w:rPr>
        <w:t>XX</w:t>
      </w:r>
      <w:r w:rsidR="009D1C5D" w:rsidRPr="00801407">
        <w:rPr>
          <w:rFonts w:ascii="Verdana" w:eastAsia="Verdana" w:hAnsi="Verdana" w:cs="Verdana"/>
          <w:color w:val="000000"/>
          <w:sz w:val="20"/>
          <w:szCs w:val="20"/>
        </w:rPr>
        <w:t xml:space="preserve"> días del mes de </w:t>
      </w:r>
      <w:r w:rsidR="009D1C5D" w:rsidRPr="00801407">
        <w:rPr>
          <w:rFonts w:ascii="Verdana" w:eastAsia="Verdana" w:hAnsi="Verdana" w:cs="Verdana"/>
          <w:color w:val="000000"/>
          <w:sz w:val="20"/>
          <w:szCs w:val="20"/>
          <w:highlight w:val="yellow"/>
        </w:rPr>
        <w:t>XXXXXXX</w:t>
      </w:r>
      <w:r w:rsidR="009D1C5D" w:rsidRPr="00801407">
        <w:rPr>
          <w:rFonts w:ascii="Verdana" w:eastAsia="Verdana" w:hAnsi="Verdana" w:cs="Verdana"/>
          <w:color w:val="000000"/>
          <w:sz w:val="20"/>
          <w:szCs w:val="20"/>
        </w:rPr>
        <w:t xml:space="preserve"> </w:t>
      </w:r>
      <w:r w:rsidR="00E81076" w:rsidRPr="00801407">
        <w:rPr>
          <w:rFonts w:ascii="Verdana" w:eastAsia="Verdana" w:hAnsi="Verdana" w:cs="Verdana"/>
          <w:color w:val="000000"/>
          <w:sz w:val="20"/>
          <w:szCs w:val="20"/>
        </w:rPr>
        <w:t>de</w:t>
      </w:r>
      <w:r w:rsidR="009D1C5D" w:rsidRPr="00801407">
        <w:rPr>
          <w:rFonts w:ascii="Verdana" w:eastAsia="Verdana" w:hAnsi="Verdana" w:cs="Verdana"/>
          <w:color w:val="000000"/>
          <w:sz w:val="20"/>
          <w:szCs w:val="20"/>
        </w:rPr>
        <w:t xml:space="preserve"> 20</w:t>
      </w:r>
      <w:r w:rsidR="00954CFC" w:rsidRPr="00801407">
        <w:rPr>
          <w:rFonts w:ascii="Verdana" w:eastAsia="Verdana" w:hAnsi="Verdana" w:cs="Verdana"/>
          <w:color w:val="000000"/>
          <w:sz w:val="20"/>
          <w:szCs w:val="20"/>
        </w:rPr>
        <w:t>2</w:t>
      </w:r>
      <w:r w:rsidR="00954CFC" w:rsidRPr="00801407">
        <w:rPr>
          <w:rFonts w:ascii="Verdana" w:eastAsia="Verdana" w:hAnsi="Verdana" w:cs="Verdana"/>
          <w:color w:val="000000"/>
          <w:sz w:val="20"/>
          <w:szCs w:val="20"/>
          <w:highlight w:val="yellow"/>
        </w:rPr>
        <w:t>X</w:t>
      </w:r>
    </w:p>
    <w:p w14:paraId="3E544869" w14:textId="6A43C04B" w:rsidR="00AE1473" w:rsidRPr="00801407" w:rsidRDefault="00C15CC1">
      <w:pPr>
        <w:spacing w:after="0" w:line="240" w:lineRule="auto"/>
        <w:ind w:right="49"/>
        <w:jc w:val="center"/>
        <w:rPr>
          <w:rFonts w:ascii="Verdana" w:eastAsia="Verdana" w:hAnsi="Verdana" w:cs="Verdana"/>
          <w:b/>
          <w:bCs/>
          <w:sz w:val="20"/>
          <w:szCs w:val="20"/>
        </w:rPr>
      </w:pPr>
      <w:r w:rsidRPr="00801407">
        <w:rPr>
          <w:rFonts w:ascii="Verdana" w:eastAsia="Verdana" w:hAnsi="Verdana" w:cs="Verdana"/>
          <w:b/>
          <w:bCs/>
          <w:sz w:val="20"/>
          <w:szCs w:val="20"/>
        </w:rPr>
        <w:t>PUBLÍQUESE</w:t>
      </w:r>
      <w:r w:rsidR="009D1C5D" w:rsidRPr="00801407">
        <w:rPr>
          <w:rFonts w:ascii="Verdana" w:eastAsia="Verdana" w:hAnsi="Verdana" w:cs="Verdana"/>
          <w:b/>
          <w:bCs/>
          <w:sz w:val="20"/>
          <w:szCs w:val="20"/>
        </w:rPr>
        <w:t xml:space="preserve"> </w:t>
      </w:r>
      <w:r w:rsidRPr="00801407">
        <w:rPr>
          <w:rFonts w:ascii="Verdana" w:eastAsia="Verdana" w:hAnsi="Verdana" w:cs="Verdana"/>
          <w:b/>
          <w:bCs/>
          <w:sz w:val="20"/>
          <w:szCs w:val="20"/>
        </w:rPr>
        <w:t>Y CÚMPLASE</w:t>
      </w:r>
    </w:p>
    <w:p w14:paraId="426ABAC4" w14:textId="77777777" w:rsidR="00AE1473" w:rsidRPr="00801407" w:rsidRDefault="00AE1473">
      <w:pPr>
        <w:spacing w:after="0" w:line="240" w:lineRule="auto"/>
        <w:ind w:right="49"/>
        <w:rPr>
          <w:rFonts w:ascii="Verdana" w:eastAsia="Verdana" w:hAnsi="Verdana" w:cs="Verdana"/>
          <w:sz w:val="20"/>
          <w:szCs w:val="20"/>
        </w:rPr>
      </w:pPr>
    </w:p>
    <w:p w14:paraId="020652ED" w14:textId="77777777" w:rsidR="00C15CC1" w:rsidRPr="00801407" w:rsidRDefault="00C15CC1">
      <w:pPr>
        <w:spacing w:after="0" w:line="240" w:lineRule="auto"/>
        <w:ind w:right="49"/>
        <w:rPr>
          <w:rFonts w:ascii="Verdana" w:eastAsia="Verdana" w:hAnsi="Verdana" w:cs="Verdana"/>
          <w:sz w:val="20"/>
          <w:szCs w:val="20"/>
        </w:rPr>
      </w:pPr>
    </w:p>
    <w:p w14:paraId="3CFA04C6" w14:textId="77777777" w:rsidR="00C15CC1" w:rsidRPr="00801407" w:rsidRDefault="00C15CC1">
      <w:pPr>
        <w:spacing w:after="0" w:line="240" w:lineRule="auto"/>
        <w:ind w:right="49"/>
        <w:rPr>
          <w:rFonts w:ascii="Verdana" w:eastAsia="Verdana" w:hAnsi="Verdana" w:cs="Verdana"/>
          <w:sz w:val="20"/>
          <w:szCs w:val="20"/>
        </w:rPr>
      </w:pPr>
    </w:p>
    <w:p w14:paraId="681871E5" w14:textId="77777777" w:rsidR="00C15CC1" w:rsidRPr="00801407" w:rsidRDefault="00C15CC1">
      <w:pPr>
        <w:spacing w:after="0" w:line="240" w:lineRule="auto"/>
        <w:ind w:right="49"/>
        <w:rPr>
          <w:rFonts w:ascii="Verdana" w:eastAsia="Verdana" w:hAnsi="Verdana" w:cs="Verdana"/>
          <w:sz w:val="20"/>
          <w:szCs w:val="20"/>
        </w:rPr>
      </w:pPr>
    </w:p>
    <w:p w14:paraId="1E03553D" w14:textId="442BF3A0" w:rsidR="00AE1473" w:rsidRPr="00801407" w:rsidRDefault="00954CFC">
      <w:pPr>
        <w:spacing w:after="0" w:line="240" w:lineRule="auto"/>
        <w:ind w:right="-376"/>
        <w:jc w:val="center"/>
        <w:rPr>
          <w:rFonts w:ascii="Verdana" w:eastAsia="Verdana" w:hAnsi="Verdana" w:cs="Verdana"/>
          <w:b/>
          <w:bCs/>
          <w:sz w:val="20"/>
          <w:szCs w:val="20"/>
        </w:rPr>
      </w:pPr>
      <w:r w:rsidRPr="00801407">
        <w:rPr>
          <w:rFonts w:ascii="Verdana" w:eastAsia="Verdana" w:hAnsi="Verdana" w:cs="Verdana"/>
          <w:b/>
          <w:bCs/>
          <w:sz w:val="20"/>
          <w:szCs w:val="20"/>
        </w:rPr>
        <w:t>ANGELA YESENIA OLAYA REQUENE</w:t>
      </w:r>
    </w:p>
    <w:p w14:paraId="34AAC8F5" w14:textId="2C5AFEB6" w:rsidR="00954CFC" w:rsidRPr="00801407" w:rsidRDefault="00954CFC">
      <w:pPr>
        <w:spacing w:after="0" w:line="240" w:lineRule="auto"/>
        <w:ind w:right="-376"/>
        <w:jc w:val="center"/>
        <w:rPr>
          <w:rFonts w:ascii="Verdana" w:eastAsia="Verdana" w:hAnsi="Verdana" w:cs="Verdana"/>
          <w:b/>
          <w:bCs/>
          <w:sz w:val="20"/>
          <w:szCs w:val="20"/>
        </w:rPr>
      </w:pPr>
      <w:r w:rsidRPr="00801407">
        <w:rPr>
          <w:rFonts w:ascii="Verdana" w:eastAsia="Verdana" w:hAnsi="Verdana" w:cs="Verdana"/>
          <w:b/>
          <w:bCs/>
          <w:sz w:val="20"/>
          <w:szCs w:val="20"/>
        </w:rPr>
        <w:t>MINISTRA DE CIENCIA, TECNOLOGÍA E INNOVACIÓN</w:t>
      </w:r>
    </w:p>
    <w:p w14:paraId="57B5451C" w14:textId="77777777" w:rsidR="00954CFC" w:rsidRPr="00801407" w:rsidRDefault="00954CFC">
      <w:pPr>
        <w:spacing w:after="0" w:line="240" w:lineRule="auto"/>
        <w:ind w:right="-376"/>
        <w:jc w:val="center"/>
        <w:rPr>
          <w:rFonts w:ascii="Verdana" w:eastAsia="Verdana" w:hAnsi="Verdana" w:cs="Verdana"/>
          <w:b/>
          <w:bCs/>
          <w:color w:val="3D85C6"/>
        </w:rPr>
      </w:pPr>
    </w:p>
    <w:p w14:paraId="0CAE4B7F" w14:textId="616F6A88" w:rsidR="00AE1473" w:rsidRPr="00E81076" w:rsidRDefault="00C15CC1">
      <w:pPr>
        <w:tabs>
          <w:tab w:val="left" w:pos="0"/>
        </w:tabs>
        <w:spacing w:after="0" w:line="240" w:lineRule="auto"/>
        <w:ind w:right="-376"/>
        <w:jc w:val="both"/>
        <w:rPr>
          <w:rFonts w:ascii="Verdana" w:eastAsia="Verdana" w:hAnsi="Verdana" w:cs="Verdana"/>
          <w:color w:val="3D85C6"/>
          <w:sz w:val="14"/>
          <w:szCs w:val="14"/>
        </w:rPr>
      </w:pPr>
      <w:r w:rsidRPr="00E81076">
        <w:rPr>
          <w:rFonts w:ascii="Verdana" w:eastAsia="Verdana" w:hAnsi="Verdana" w:cs="Verdana"/>
          <w:color w:val="000000"/>
          <w:sz w:val="14"/>
          <w:szCs w:val="14"/>
        </w:rPr>
        <w:t xml:space="preserve">Vbo: </w:t>
      </w:r>
      <w:r w:rsidR="00E81076" w:rsidRPr="00E81076">
        <w:rPr>
          <w:rFonts w:ascii="Verdana" w:eastAsia="Verdana" w:hAnsi="Verdana" w:cs="Verdana"/>
          <w:color w:val="000000"/>
          <w:sz w:val="14"/>
          <w:szCs w:val="14"/>
        </w:rPr>
        <w:tab/>
      </w:r>
      <w:r w:rsidR="003031FD">
        <w:rPr>
          <w:rFonts w:ascii="Verdana" w:eastAsia="Verdana" w:hAnsi="Verdana" w:cs="Verdana"/>
          <w:color w:val="3D85C6"/>
          <w:sz w:val="14"/>
          <w:szCs w:val="14"/>
        </w:rPr>
        <w:t xml:space="preserve">Octavio Hernando Sandoval Rozo – Jeje Oficina Asesora Jurídica </w:t>
      </w:r>
    </w:p>
    <w:p w14:paraId="1592F64F" w14:textId="4542E1D5" w:rsidR="00AE1473" w:rsidRPr="00E81076" w:rsidRDefault="00C15CC1">
      <w:pPr>
        <w:tabs>
          <w:tab w:val="left" w:pos="0"/>
        </w:tabs>
        <w:spacing w:after="0" w:line="240" w:lineRule="auto"/>
        <w:ind w:right="-376"/>
        <w:jc w:val="both"/>
        <w:rPr>
          <w:rFonts w:ascii="Verdana" w:eastAsia="Verdana" w:hAnsi="Verdana" w:cs="Verdana"/>
          <w:color w:val="3D85C6"/>
          <w:sz w:val="14"/>
          <w:szCs w:val="14"/>
        </w:rPr>
      </w:pPr>
      <w:r w:rsidRPr="00E81076">
        <w:rPr>
          <w:rFonts w:ascii="Verdana" w:eastAsia="Verdana" w:hAnsi="Verdana" w:cs="Verdana"/>
          <w:color w:val="000000"/>
          <w:sz w:val="14"/>
          <w:szCs w:val="14"/>
        </w:rPr>
        <w:t xml:space="preserve">Revisó: </w:t>
      </w:r>
      <w:r w:rsidR="00E81076" w:rsidRPr="00E81076">
        <w:rPr>
          <w:rFonts w:ascii="Verdana" w:eastAsia="Verdana" w:hAnsi="Verdana" w:cs="Verdana"/>
          <w:color w:val="000000"/>
          <w:sz w:val="14"/>
          <w:szCs w:val="14"/>
        </w:rPr>
        <w:tab/>
      </w:r>
      <w:r w:rsidRPr="00E81076">
        <w:rPr>
          <w:rFonts w:ascii="Verdana" w:eastAsia="Verdana" w:hAnsi="Verdana" w:cs="Verdana"/>
          <w:color w:val="3D85C6"/>
          <w:sz w:val="14"/>
          <w:szCs w:val="14"/>
        </w:rPr>
        <w:t>XXXXXXXXXXXXXXXXXXXXXX</w:t>
      </w:r>
    </w:p>
    <w:p w14:paraId="17DACB47" w14:textId="432596FB" w:rsidR="00706073" w:rsidRDefault="00C15CC1" w:rsidP="00C15CC1">
      <w:pPr>
        <w:tabs>
          <w:tab w:val="left" w:pos="0"/>
        </w:tabs>
        <w:spacing w:after="0" w:line="240" w:lineRule="auto"/>
        <w:ind w:right="-376"/>
        <w:jc w:val="both"/>
        <w:rPr>
          <w:rFonts w:ascii="Verdana" w:eastAsia="Verdana" w:hAnsi="Verdana" w:cs="Verdana"/>
          <w:color w:val="000000"/>
          <w:sz w:val="14"/>
          <w:szCs w:val="14"/>
        </w:rPr>
      </w:pPr>
      <w:r w:rsidRPr="00E81076">
        <w:rPr>
          <w:rFonts w:ascii="Verdana" w:eastAsia="Verdana" w:hAnsi="Verdana" w:cs="Verdana"/>
          <w:color w:val="000000"/>
          <w:sz w:val="14"/>
          <w:szCs w:val="14"/>
        </w:rPr>
        <w:t xml:space="preserve">Proyectó: </w:t>
      </w:r>
      <w:r w:rsidR="00E81076" w:rsidRPr="00E81076">
        <w:rPr>
          <w:rFonts w:ascii="Verdana" w:eastAsia="Verdana" w:hAnsi="Verdana" w:cs="Verdana"/>
          <w:color w:val="000000"/>
          <w:sz w:val="14"/>
          <w:szCs w:val="14"/>
        </w:rPr>
        <w:t xml:space="preserve">María Catalina Álvarez Ramírez – </w:t>
      </w:r>
      <w:r w:rsidR="00BF2BEC">
        <w:rPr>
          <w:rFonts w:ascii="Verdana" w:eastAsia="Verdana" w:hAnsi="Verdana" w:cs="Verdana"/>
          <w:color w:val="000000"/>
          <w:sz w:val="14"/>
          <w:szCs w:val="14"/>
        </w:rPr>
        <w:t>Contratista</w:t>
      </w:r>
      <w:r w:rsidR="00E81076" w:rsidRPr="00E81076">
        <w:rPr>
          <w:rFonts w:ascii="Verdana" w:eastAsia="Verdana" w:hAnsi="Verdana" w:cs="Verdana"/>
          <w:color w:val="000000"/>
          <w:sz w:val="14"/>
          <w:szCs w:val="14"/>
        </w:rPr>
        <w:t xml:space="preserve"> OAJ </w:t>
      </w:r>
    </w:p>
    <w:p w14:paraId="5357C8B6" w14:textId="6F235BDE" w:rsidR="00AD3E6C" w:rsidRPr="009E52DC" w:rsidRDefault="00AD3E6C" w:rsidP="00C15CC1">
      <w:pPr>
        <w:tabs>
          <w:tab w:val="left" w:pos="0"/>
        </w:tabs>
        <w:spacing w:after="0" w:line="240" w:lineRule="auto"/>
        <w:ind w:right="-376"/>
        <w:jc w:val="both"/>
        <w:rPr>
          <w:rFonts w:ascii="Verdana" w:eastAsia="Verdana" w:hAnsi="Verdana" w:cs="Verdana"/>
          <w:sz w:val="20"/>
          <w:szCs w:val="20"/>
        </w:rPr>
      </w:pPr>
      <w:r>
        <w:rPr>
          <w:rFonts w:ascii="Verdana" w:eastAsia="Verdana" w:hAnsi="Verdana" w:cs="Verdana"/>
          <w:color w:val="000000"/>
          <w:sz w:val="14"/>
          <w:szCs w:val="14"/>
        </w:rPr>
        <w:t>Insumo</w:t>
      </w:r>
      <w:r w:rsidR="00D059D9">
        <w:rPr>
          <w:rFonts w:ascii="Verdana" w:eastAsia="Verdana" w:hAnsi="Verdana" w:cs="Verdana"/>
          <w:color w:val="000000"/>
          <w:sz w:val="14"/>
          <w:szCs w:val="14"/>
        </w:rPr>
        <w:t xml:space="preserve"> técnico</w:t>
      </w:r>
      <w:r>
        <w:rPr>
          <w:rFonts w:ascii="Verdana" w:eastAsia="Verdana" w:hAnsi="Verdana" w:cs="Verdana"/>
          <w:color w:val="000000"/>
          <w:sz w:val="14"/>
          <w:szCs w:val="14"/>
        </w:rPr>
        <w:t>: Memorando con r</w:t>
      </w:r>
      <w:r w:rsidRPr="00AD3E6C">
        <w:rPr>
          <w:rFonts w:ascii="Verdana" w:eastAsia="Verdana" w:hAnsi="Verdana" w:cs="Verdana"/>
          <w:color w:val="000000"/>
          <w:sz w:val="14"/>
          <w:szCs w:val="14"/>
        </w:rPr>
        <w:t>adicado:20240004104M</w:t>
      </w:r>
      <w:r>
        <w:rPr>
          <w:rFonts w:ascii="Verdana" w:eastAsia="Verdana" w:hAnsi="Verdana" w:cs="Verdana"/>
          <w:color w:val="000000"/>
          <w:sz w:val="14"/>
          <w:szCs w:val="14"/>
        </w:rPr>
        <w:t xml:space="preserve"> del 03/09/2024</w:t>
      </w:r>
    </w:p>
    <w:sectPr w:rsidR="00AD3E6C" w:rsidRPr="009E52DC" w:rsidSect="00801407">
      <w:headerReference w:type="even" r:id="rId8"/>
      <w:headerReference w:type="default" r:id="rId9"/>
      <w:footerReference w:type="even" r:id="rId10"/>
      <w:footerReference w:type="default" r:id="rId11"/>
      <w:headerReference w:type="first" r:id="rId12"/>
      <w:footerReference w:type="first" r:id="rId13"/>
      <w:pgSz w:w="12240" w:h="15840"/>
      <w:pgMar w:top="1985" w:right="1325"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DF72DB" w14:textId="77777777" w:rsidR="002B08EF" w:rsidRDefault="002B08EF">
      <w:pPr>
        <w:spacing w:after="0" w:line="240" w:lineRule="auto"/>
      </w:pPr>
      <w:r>
        <w:separator/>
      </w:r>
    </w:p>
  </w:endnote>
  <w:endnote w:type="continuationSeparator" w:id="0">
    <w:p w14:paraId="246A67D0" w14:textId="77777777" w:rsidR="002B08EF" w:rsidRDefault="002B08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Verdana">
    <w:panose1 w:val="020B0604030504040204"/>
    <w:charset w:val="00"/>
    <w:family w:val="swiss"/>
    <w:pitch w:val="variable"/>
    <w:sig w:usb0="A00006FF" w:usb1="4000205B" w:usb2="00000010" w:usb3="00000000" w:csb0="0000019F" w:csb1="00000000"/>
    <w:embedRegular r:id="rId1" w:fontKey="{2258CF20-CC86-41AC-8F3B-A6871268EACF}"/>
    <w:embedBold r:id="rId2" w:fontKey="{BD8AF421-1206-452B-A203-50B8CF049C55}"/>
    <w:embedItalic r:id="rId3" w:fontKey="{BBF1BCFE-5ED6-4D92-9AE0-145230F7D847}"/>
    <w:embedBoldItalic r:id="rId4" w:fontKey="{B120FB12-5A91-408D-AF1B-9EDC59D2961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5" w:fontKey="{2A8FEADC-DB18-4CD6-86AF-02403B4710BB}"/>
    <w:embedBold r:id="rId6" w:fontKey="{0E7F674D-648A-4D45-B00D-AFA2958F425F}"/>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7" w:fontKey="{13F4A595-954E-4419-825E-0FC4E433ABF4}"/>
    <w:embedItalic r:id="rId8" w:fontKey="{11C77D3B-0B89-4737-B655-1B5CBECC6900}"/>
  </w:font>
  <w:font w:name="Arial Narrow">
    <w:panose1 w:val="020B0606020202030204"/>
    <w:charset w:val="00"/>
    <w:family w:val="swiss"/>
    <w:pitch w:val="variable"/>
    <w:sig w:usb0="00000287" w:usb1="00000800" w:usb2="00000000" w:usb3="00000000" w:csb0="0000009F" w:csb1="00000000"/>
    <w:embedRegular r:id="rId9" w:fontKey="{E88958B5-A9D8-44A3-8343-58455A1778F5}"/>
    <w:embedBold r:id="rId10" w:fontKey="{0AC7AF40-5078-4435-9BC6-D2F528B15AAA}"/>
    <w:embedItalic r:id="rId11" w:fontKey="{9D5EBB03-A457-484C-9BB6-63CD37871C44}"/>
  </w:font>
  <w:font w:name="Cambria">
    <w:panose1 w:val="02040503050406030204"/>
    <w:charset w:val="00"/>
    <w:family w:val="roman"/>
    <w:pitch w:val="variable"/>
    <w:sig w:usb0="E00006FF" w:usb1="420024FF" w:usb2="02000000" w:usb3="00000000" w:csb0="0000019F" w:csb1="00000000"/>
    <w:embedRegular r:id="rId12" w:fontKey="{7487DF44-7A4E-4215-A9C8-B6CF8AC51FA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11E0CB" w14:textId="77777777" w:rsidR="00AE1473" w:rsidRDefault="00AE1473">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7946AF" w14:textId="77777777" w:rsidR="00AE1473" w:rsidRDefault="00C15CC1">
    <w:pPr>
      <w:pBdr>
        <w:top w:val="nil"/>
        <w:left w:val="nil"/>
        <w:bottom w:val="nil"/>
        <w:right w:val="nil"/>
        <w:between w:val="nil"/>
      </w:pBdr>
      <w:tabs>
        <w:tab w:val="center" w:pos="4419"/>
        <w:tab w:val="right" w:pos="8838"/>
      </w:tabs>
      <w:spacing w:after="0" w:line="240" w:lineRule="auto"/>
      <w:jc w:val="right"/>
      <w:rPr>
        <w:rFonts w:ascii="Verdana" w:eastAsia="Verdana" w:hAnsi="Verdana" w:cs="Verdana"/>
        <w:sz w:val="16"/>
        <w:szCs w:val="16"/>
      </w:rPr>
    </w:pPr>
    <w:r>
      <w:rPr>
        <w:rFonts w:ascii="Verdana" w:eastAsia="Verdana" w:hAnsi="Verdana" w:cs="Verdana"/>
        <w:sz w:val="16"/>
        <w:szCs w:val="16"/>
      </w:rPr>
      <w:t>A205PR02MO1</w:t>
    </w:r>
  </w:p>
  <w:p w14:paraId="15997042" w14:textId="77777777" w:rsidR="00AE1473" w:rsidRDefault="00C15CC1">
    <w:pPr>
      <w:pBdr>
        <w:top w:val="nil"/>
        <w:left w:val="nil"/>
        <w:bottom w:val="nil"/>
        <w:right w:val="nil"/>
        <w:between w:val="nil"/>
      </w:pBdr>
      <w:tabs>
        <w:tab w:val="center" w:pos="4419"/>
        <w:tab w:val="right" w:pos="8838"/>
      </w:tabs>
      <w:spacing w:after="0" w:line="240" w:lineRule="auto"/>
      <w:jc w:val="right"/>
      <w:rPr>
        <w:rFonts w:ascii="Verdana" w:eastAsia="Verdana" w:hAnsi="Verdana" w:cs="Verdana"/>
        <w:sz w:val="16"/>
        <w:szCs w:val="16"/>
      </w:rPr>
    </w:pPr>
    <w:r>
      <w:rPr>
        <w:rFonts w:ascii="Verdana" w:eastAsia="Verdana" w:hAnsi="Verdana" w:cs="Verdana"/>
        <w:sz w:val="16"/>
        <w:szCs w:val="16"/>
      </w:rPr>
      <w:t>Versión: 01</w:t>
    </w:r>
  </w:p>
  <w:p w14:paraId="3A744ECC" w14:textId="77777777" w:rsidR="00AE1473" w:rsidRDefault="00C15CC1">
    <w:pPr>
      <w:pBdr>
        <w:top w:val="nil"/>
        <w:left w:val="nil"/>
        <w:bottom w:val="nil"/>
        <w:right w:val="nil"/>
        <w:between w:val="nil"/>
      </w:pBdr>
      <w:tabs>
        <w:tab w:val="center" w:pos="4419"/>
        <w:tab w:val="right" w:pos="8838"/>
      </w:tabs>
      <w:spacing w:after="0" w:line="240" w:lineRule="auto"/>
      <w:jc w:val="right"/>
      <w:rPr>
        <w:rFonts w:ascii="Verdana" w:eastAsia="Verdana" w:hAnsi="Verdana" w:cs="Verdana"/>
        <w:sz w:val="16"/>
        <w:szCs w:val="16"/>
      </w:rPr>
    </w:pPr>
    <w:r>
      <w:rPr>
        <w:rFonts w:ascii="Verdana" w:eastAsia="Verdana" w:hAnsi="Verdana" w:cs="Verdana"/>
        <w:sz w:val="16"/>
        <w:szCs w:val="16"/>
      </w:rPr>
      <w:t>Fecha: 2020-02-19</w:t>
    </w:r>
  </w:p>
  <w:p w14:paraId="1AFFB224" w14:textId="77777777" w:rsidR="00AE1473" w:rsidRDefault="00C15CC1">
    <w:pPr>
      <w:pBdr>
        <w:top w:val="nil"/>
        <w:left w:val="nil"/>
        <w:bottom w:val="nil"/>
        <w:right w:val="nil"/>
        <w:between w:val="nil"/>
      </w:pBdr>
      <w:tabs>
        <w:tab w:val="center" w:pos="4419"/>
        <w:tab w:val="right" w:pos="8838"/>
      </w:tabs>
      <w:spacing w:after="0" w:line="240" w:lineRule="auto"/>
      <w:jc w:val="center"/>
      <w:rPr>
        <w:rFonts w:ascii="Verdana" w:eastAsia="Verdana" w:hAnsi="Verdana" w:cs="Verdana"/>
        <w:color w:val="000000"/>
        <w:sz w:val="16"/>
        <w:szCs w:val="16"/>
      </w:rPr>
    </w:pPr>
    <w:r>
      <w:rPr>
        <w:rFonts w:ascii="Verdana" w:eastAsia="Verdana" w:hAnsi="Verdana" w:cs="Verdana"/>
        <w:color w:val="000000"/>
        <w:sz w:val="16"/>
        <w:szCs w:val="16"/>
      </w:rPr>
      <w:t xml:space="preserve">Página: </w:t>
    </w:r>
    <w:r w:rsidR="009E52DC">
      <w:rPr>
        <w:rFonts w:ascii="Verdana" w:eastAsia="Verdana" w:hAnsi="Verdana" w:cs="Verdana"/>
        <w:noProof/>
        <w:color w:val="000000"/>
        <w:sz w:val="16"/>
        <w:szCs w:val="16"/>
      </w:rPr>
      <w:t>1</w:t>
    </w:r>
    <w:r>
      <w:rPr>
        <w:rFonts w:ascii="Verdana" w:eastAsia="Verdana" w:hAnsi="Verdana" w:cs="Verdana"/>
        <w:color w:val="000000"/>
        <w:sz w:val="16"/>
        <w:szCs w:val="16"/>
      </w:rPr>
      <w:t xml:space="preserve"> de </w:t>
    </w:r>
    <w:r w:rsidR="009E52DC">
      <w:rPr>
        <w:rFonts w:ascii="Verdana" w:eastAsia="Verdana" w:hAnsi="Verdana" w:cs="Verdana"/>
        <w:noProof/>
        <w:color w:val="000000"/>
        <w:sz w:val="16"/>
        <w:szCs w:val="16"/>
      </w:rPr>
      <w:t>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27FCA4" w14:textId="77777777" w:rsidR="00AE1473" w:rsidRDefault="00C15CC1">
    <w:pPr>
      <w:pBdr>
        <w:top w:val="nil"/>
        <w:left w:val="nil"/>
        <w:bottom w:val="nil"/>
        <w:right w:val="nil"/>
        <w:between w:val="nil"/>
      </w:pBdr>
      <w:tabs>
        <w:tab w:val="center" w:pos="4419"/>
        <w:tab w:val="right" w:pos="8838"/>
      </w:tabs>
      <w:spacing w:after="0" w:line="240" w:lineRule="auto"/>
      <w:jc w:val="center"/>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 xml:space="preserve">Página:  de </w:t>
    </w:r>
  </w:p>
  <w:tbl>
    <w:tblPr>
      <w:tblStyle w:val="a0"/>
      <w:tblW w:w="645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50"/>
    </w:tblGrid>
    <w:tr w:rsidR="00AE1473" w14:paraId="4B93B835" w14:textId="77777777">
      <w:trPr>
        <w:trHeight w:val="183"/>
        <w:jc w:val="center"/>
      </w:trPr>
      <w:tc>
        <w:tcPr>
          <w:tcW w:w="6450" w:type="dxa"/>
          <w:tcBorders>
            <w:top w:val="nil"/>
            <w:left w:val="nil"/>
            <w:bottom w:val="nil"/>
            <w:right w:val="nil"/>
          </w:tcBorders>
          <w:shd w:val="clear" w:color="auto" w:fill="auto"/>
          <w:tcMar>
            <w:top w:w="100" w:type="dxa"/>
            <w:left w:w="100" w:type="dxa"/>
            <w:bottom w:w="100" w:type="dxa"/>
            <w:right w:w="100" w:type="dxa"/>
          </w:tcMar>
        </w:tcPr>
        <w:p w14:paraId="4F13F465" w14:textId="77777777" w:rsidR="00AE1473" w:rsidRDefault="00C15CC1">
          <w:pPr>
            <w:widowControl w:val="0"/>
            <w:pBdr>
              <w:top w:val="nil"/>
              <w:left w:val="nil"/>
              <w:bottom w:val="nil"/>
              <w:right w:val="nil"/>
              <w:between w:val="nil"/>
            </w:pBdr>
            <w:spacing w:after="0" w:line="240" w:lineRule="auto"/>
            <w:jc w:val="right"/>
            <w:rPr>
              <w:rFonts w:ascii="Arial Narrow" w:eastAsia="Arial Narrow" w:hAnsi="Arial Narrow" w:cs="Arial Narrow"/>
              <w:color w:val="000000"/>
              <w:sz w:val="16"/>
              <w:szCs w:val="16"/>
            </w:rPr>
          </w:pPr>
          <w:r>
            <w:rPr>
              <w:rFonts w:ascii="Arial Narrow" w:eastAsia="Arial Narrow" w:hAnsi="Arial Narrow" w:cs="Arial Narrow"/>
              <w:sz w:val="16"/>
              <w:szCs w:val="16"/>
            </w:rPr>
            <w:t>A205PR02MO1</w:t>
          </w:r>
        </w:p>
      </w:tc>
    </w:tr>
    <w:tr w:rsidR="00AE1473" w14:paraId="36A4B51B" w14:textId="77777777">
      <w:trPr>
        <w:jc w:val="center"/>
      </w:trPr>
      <w:tc>
        <w:tcPr>
          <w:tcW w:w="6450" w:type="dxa"/>
          <w:tcBorders>
            <w:top w:val="nil"/>
            <w:left w:val="nil"/>
            <w:bottom w:val="nil"/>
            <w:right w:val="nil"/>
          </w:tcBorders>
          <w:shd w:val="clear" w:color="auto" w:fill="auto"/>
          <w:tcMar>
            <w:top w:w="100" w:type="dxa"/>
            <w:left w:w="100" w:type="dxa"/>
            <w:bottom w:w="100" w:type="dxa"/>
            <w:right w:w="100" w:type="dxa"/>
          </w:tcMar>
        </w:tcPr>
        <w:p w14:paraId="7D0EAA35" w14:textId="77777777" w:rsidR="00AE1473" w:rsidRDefault="00C15CC1">
          <w:pPr>
            <w:widowControl w:val="0"/>
            <w:pBdr>
              <w:top w:val="nil"/>
              <w:left w:val="nil"/>
              <w:bottom w:val="nil"/>
              <w:right w:val="nil"/>
              <w:between w:val="nil"/>
            </w:pBdr>
            <w:spacing w:after="0" w:line="240" w:lineRule="auto"/>
            <w:jc w:val="right"/>
            <w:rPr>
              <w:rFonts w:ascii="Arial Narrow" w:eastAsia="Arial Narrow" w:hAnsi="Arial Narrow" w:cs="Arial Narrow"/>
              <w:color w:val="000000"/>
              <w:sz w:val="16"/>
              <w:szCs w:val="16"/>
            </w:rPr>
          </w:pPr>
          <w:r>
            <w:rPr>
              <w:rFonts w:ascii="Arial Narrow" w:eastAsia="Arial Narrow" w:hAnsi="Arial Narrow" w:cs="Arial Narrow"/>
              <w:sz w:val="16"/>
              <w:szCs w:val="16"/>
            </w:rPr>
            <w:t>Versión: 01</w:t>
          </w:r>
        </w:p>
      </w:tc>
    </w:tr>
    <w:tr w:rsidR="00AE1473" w14:paraId="7CFDCE33" w14:textId="77777777">
      <w:trPr>
        <w:jc w:val="center"/>
      </w:trPr>
      <w:tc>
        <w:tcPr>
          <w:tcW w:w="6450" w:type="dxa"/>
          <w:tcBorders>
            <w:top w:val="nil"/>
            <w:left w:val="nil"/>
            <w:bottom w:val="nil"/>
            <w:right w:val="nil"/>
          </w:tcBorders>
          <w:shd w:val="clear" w:color="auto" w:fill="auto"/>
          <w:tcMar>
            <w:top w:w="100" w:type="dxa"/>
            <w:left w:w="100" w:type="dxa"/>
            <w:bottom w:w="100" w:type="dxa"/>
            <w:right w:w="100" w:type="dxa"/>
          </w:tcMar>
        </w:tcPr>
        <w:p w14:paraId="67C49E67" w14:textId="77777777" w:rsidR="00AE1473" w:rsidRDefault="00C15CC1">
          <w:pPr>
            <w:widowControl w:val="0"/>
            <w:pBdr>
              <w:top w:val="nil"/>
              <w:left w:val="nil"/>
              <w:bottom w:val="nil"/>
              <w:right w:val="nil"/>
              <w:between w:val="nil"/>
            </w:pBdr>
            <w:spacing w:after="0" w:line="240" w:lineRule="auto"/>
            <w:jc w:val="right"/>
            <w:rPr>
              <w:rFonts w:ascii="Arial Narrow" w:eastAsia="Arial Narrow" w:hAnsi="Arial Narrow" w:cs="Arial Narrow"/>
              <w:color w:val="000000"/>
              <w:sz w:val="16"/>
              <w:szCs w:val="16"/>
            </w:rPr>
          </w:pPr>
          <w:r>
            <w:rPr>
              <w:rFonts w:ascii="Arial Narrow" w:eastAsia="Arial Narrow" w:hAnsi="Arial Narrow" w:cs="Arial Narrow"/>
              <w:sz w:val="16"/>
              <w:szCs w:val="16"/>
            </w:rPr>
            <w:t>Fecha: 2020-02-19</w:t>
          </w:r>
        </w:p>
      </w:tc>
    </w:tr>
  </w:tbl>
  <w:p w14:paraId="2FDC733D" w14:textId="77777777" w:rsidR="00AE1473" w:rsidRDefault="00AE1473">
    <w:pPr>
      <w:pBdr>
        <w:top w:val="nil"/>
        <w:left w:val="nil"/>
        <w:bottom w:val="nil"/>
        <w:right w:val="nil"/>
        <w:between w:val="nil"/>
      </w:pBdr>
      <w:tabs>
        <w:tab w:val="center" w:pos="4419"/>
        <w:tab w:val="right" w:pos="8838"/>
      </w:tabs>
      <w:spacing w:after="0" w:line="240" w:lineRule="auto"/>
      <w:jc w:val="center"/>
      <w:rPr>
        <w:rFonts w:ascii="Arial Narrow" w:eastAsia="Arial Narrow" w:hAnsi="Arial Narrow" w:cs="Arial Narrow"/>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4B3E61" w14:textId="77777777" w:rsidR="002B08EF" w:rsidRDefault="002B08EF">
      <w:pPr>
        <w:spacing w:after="0" w:line="240" w:lineRule="auto"/>
      </w:pPr>
      <w:r>
        <w:separator/>
      </w:r>
    </w:p>
  </w:footnote>
  <w:footnote w:type="continuationSeparator" w:id="0">
    <w:p w14:paraId="38D1D75A" w14:textId="77777777" w:rsidR="002B08EF" w:rsidRDefault="002B08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21514D" w14:textId="77777777" w:rsidR="00AE1473" w:rsidRDefault="00AE1473">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ADB0E" w14:textId="77777777" w:rsidR="00AE1473" w:rsidRDefault="00C15CC1">
    <w:pPr>
      <w:tabs>
        <w:tab w:val="center" w:pos="4419"/>
        <w:tab w:val="right" w:pos="8838"/>
      </w:tabs>
      <w:spacing w:after="0" w:line="240" w:lineRule="auto"/>
      <w:jc w:val="center"/>
      <w:rPr>
        <w:rFonts w:ascii="Arial Narrow" w:eastAsia="Arial Narrow" w:hAnsi="Arial Narrow" w:cs="Arial Narrow"/>
        <w:i/>
        <w:sz w:val="16"/>
        <w:szCs w:val="16"/>
      </w:rPr>
    </w:pPr>
    <w:r>
      <w:rPr>
        <w:rFonts w:ascii="Arial Narrow" w:eastAsia="Arial Narrow" w:hAnsi="Arial Narrow" w:cs="Arial Narrow"/>
        <w:i/>
        <w:noProof/>
        <w:sz w:val="16"/>
        <w:szCs w:val="16"/>
      </w:rPr>
      <w:drawing>
        <wp:inline distT="114300" distB="114300" distL="114300" distR="114300" wp14:anchorId="15F5CEDF" wp14:editId="120DEDAC">
          <wp:extent cx="1161733" cy="735241"/>
          <wp:effectExtent l="0" t="0" r="0" b="0"/>
          <wp:docPr id="180976862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161733" cy="735241"/>
                  </a:xfrm>
                  <a:prstGeom prst="rect">
                    <a:avLst/>
                  </a:prstGeom>
                  <a:ln/>
                </pic:spPr>
              </pic:pic>
            </a:graphicData>
          </a:graphic>
        </wp:inline>
      </w:drawing>
    </w:r>
  </w:p>
  <w:p w14:paraId="41828DC4" w14:textId="77777777" w:rsidR="00AE1473" w:rsidRDefault="00AE1473">
    <w:pPr>
      <w:tabs>
        <w:tab w:val="center" w:pos="4419"/>
        <w:tab w:val="right" w:pos="8838"/>
      </w:tabs>
      <w:spacing w:after="0" w:line="240" w:lineRule="auto"/>
      <w:rPr>
        <w:rFonts w:ascii="Arial Narrow" w:eastAsia="Arial Narrow" w:hAnsi="Arial Narrow" w:cs="Arial Narrow"/>
        <w:i/>
        <w:sz w:val="16"/>
        <w:szCs w:val="16"/>
      </w:rPr>
    </w:pPr>
  </w:p>
  <w:p w14:paraId="48855E56" w14:textId="01E9812E" w:rsidR="00AE1473" w:rsidRDefault="00C15CC1">
    <w:pPr>
      <w:spacing w:after="0" w:line="240" w:lineRule="auto"/>
      <w:ind w:right="-374"/>
      <w:jc w:val="center"/>
      <w:rPr>
        <w:rFonts w:ascii="Verdana" w:eastAsia="Verdana" w:hAnsi="Verdana" w:cs="Verdana"/>
        <w:b/>
        <w:color w:val="3D85C6"/>
        <w:sz w:val="20"/>
        <w:szCs w:val="20"/>
      </w:rPr>
    </w:pPr>
    <w:r>
      <w:rPr>
        <w:rFonts w:ascii="Verdana" w:eastAsia="Verdana" w:hAnsi="Verdana" w:cs="Verdana"/>
        <w:b/>
        <w:sz w:val="20"/>
        <w:szCs w:val="20"/>
      </w:rPr>
      <w:t>RESOLUCIÓN No.                DE 20</w:t>
    </w:r>
    <w:r w:rsidR="0010799A">
      <w:rPr>
        <w:rFonts w:ascii="Verdana" w:eastAsia="Verdana" w:hAnsi="Verdana" w:cs="Verdana"/>
        <w:b/>
        <w:sz w:val="20"/>
        <w:szCs w:val="20"/>
      </w:rPr>
      <w:t>2</w:t>
    </w:r>
    <w:r w:rsidR="00B509AA">
      <w:rPr>
        <w:rFonts w:ascii="Verdana" w:eastAsia="Verdana" w:hAnsi="Verdana" w:cs="Verdana"/>
        <w:b/>
        <w:sz w:val="20"/>
        <w:szCs w:val="20"/>
      </w:rPr>
      <w:t>5</w:t>
    </w:r>
  </w:p>
  <w:p w14:paraId="3F80E3AE" w14:textId="77777777" w:rsidR="00AE1473" w:rsidRDefault="00AE1473">
    <w:pPr>
      <w:spacing w:after="0" w:line="240" w:lineRule="auto"/>
      <w:ind w:right="-374"/>
      <w:jc w:val="center"/>
      <w:rPr>
        <w:rFonts w:ascii="Verdana" w:eastAsia="Verdana" w:hAnsi="Verdana" w:cs="Verdana"/>
        <w:b/>
        <w:sz w:val="20"/>
        <w:szCs w:val="20"/>
      </w:rPr>
    </w:pPr>
  </w:p>
  <w:p w14:paraId="4EAB6D44" w14:textId="7E3AE99A" w:rsidR="00AE1473" w:rsidRPr="005121B2" w:rsidRDefault="00C15CC1">
    <w:pPr>
      <w:spacing w:after="0" w:line="240" w:lineRule="auto"/>
      <w:ind w:right="-374"/>
      <w:jc w:val="center"/>
      <w:rPr>
        <w:rFonts w:ascii="Verdana" w:eastAsia="Verdana" w:hAnsi="Verdana" w:cs="Verdana"/>
        <w:i/>
        <w:color w:val="000000" w:themeColor="text1"/>
        <w:sz w:val="20"/>
        <w:szCs w:val="20"/>
      </w:rPr>
    </w:pPr>
    <w:r>
      <w:rPr>
        <w:rFonts w:ascii="Verdana" w:eastAsia="Verdana" w:hAnsi="Verdana" w:cs="Verdana"/>
        <w:i/>
        <w:sz w:val="20"/>
        <w:szCs w:val="20"/>
      </w:rPr>
      <w:t>“Por la cual se</w:t>
    </w:r>
    <w:r w:rsidR="0010799A">
      <w:rPr>
        <w:rFonts w:ascii="Verdana" w:eastAsia="Verdana" w:hAnsi="Verdana" w:cs="Verdana"/>
        <w:i/>
        <w:sz w:val="20"/>
        <w:szCs w:val="20"/>
      </w:rPr>
      <w:t xml:space="preserve"> realiza </w:t>
    </w:r>
    <w:r w:rsidR="0010799A" w:rsidRPr="005121B2">
      <w:rPr>
        <w:rFonts w:ascii="Verdana" w:eastAsia="Verdana" w:hAnsi="Verdana" w:cs="Verdana"/>
        <w:i/>
        <w:color w:val="000000" w:themeColor="text1"/>
        <w:sz w:val="20"/>
        <w:szCs w:val="20"/>
      </w:rPr>
      <w:t>una</w:t>
    </w:r>
    <w:r w:rsidR="003227CB" w:rsidRPr="005121B2">
      <w:rPr>
        <w:rFonts w:ascii="Verdana" w:eastAsia="Verdana" w:hAnsi="Verdana" w:cs="Verdana"/>
        <w:i/>
        <w:color w:val="000000" w:themeColor="text1"/>
        <w:sz w:val="20"/>
        <w:szCs w:val="20"/>
      </w:rPr>
      <w:t xml:space="preserve"> depuración normativa</w:t>
    </w:r>
    <w:r w:rsidR="0010799A" w:rsidRPr="005121B2">
      <w:rPr>
        <w:rFonts w:ascii="Verdana" w:eastAsia="Verdana" w:hAnsi="Verdana" w:cs="Verdana"/>
        <w:i/>
        <w:color w:val="000000" w:themeColor="text1"/>
        <w:sz w:val="20"/>
        <w:szCs w:val="20"/>
      </w:rPr>
      <w:t xml:space="preserve"> en </w:t>
    </w:r>
    <w:r w:rsidR="003227CB" w:rsidRPr="005121B2">
      <w:rPr>
        <w:rFonts w:ascii="Verdana" w:eastAsia="Verdana" w:hAnsi="Verdana" w:cs="Verdana"/>
        <w:i/>
        <w:color w:val="000000" w:themeColor="text1"/>
        <w:sz w:val="20"/>
        <w:szCs w:val="20"/>
      </w:rPr>
      <w:t xml:space="preserve">el </w:t>
    </w:r>
    <w:r w:rsidRPr="005121B2">
      <w:rPr>
        <w:rFonts w:ascii="Verdana" w:eastAsia="Verdana" w:hAnsi="Verdana" w:cs="Verdana"/>
        <w:i/>
        <w:color w:val="000000" w:themeColor="text1"/>
        <w:sz w:val="20"/>
        <w:szCs w:val="20"/>
      </w:rPr>
      <w:t>Ministerio de Ciencia, Tecnología e Innovación”</w:t>
    </w:r>
  </w:p>
  <w:p w14:paraId="218BA87D" w14:textId="77777777" w:rsidR="00AE1473" w:rsidRDefault="00AE1473">
    <w:pPr>
      <w:spacing w:after="0" w:line="240" w:lineRule="auto"/>
      <w:ind w:right="-376"/>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17F4BC" w14:textId="77777777" w:rsidR="00AE1473" w:rsidRDefault="00C15CC1">
    <w:pPr>
      <w:jc w:val="center"/>
    </w:pPr>
    <w:r>
      <w:rPr>
        <w:noProof/>
      </w:rPr>
      <w:drawing>
        <wp:inline distT="114300" distB="114300" distL="114300" distR="114300" wp14:anchorId="3B639CDA" wp14:editId="778527F7">
          <wp:extent cx="1281864" cy="811848"/>
          <wp:effectExtent l="0" t="0" r="0" b="0"/>
          <wp:docPr id="51421945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281864" cy="811848"/>
                  </a:xfrm>
                  <a:prstGeom prst="rect">
                    <a:avLst/>
                  </a:prstGeom>
                  <a:ln/>
                </pic:spPr>
              </pic:pic>
            </a:graphicData>
          </a:graphic>
        </wp:inline>
      </w:drawing>
    </w:r>
  </w:p>
  <w:p w14:paraId="3414C290" w14:textId="77777777" w:rsidR="00AE1473" w:rsidRDefault="00C15CC1">
    <w:pPr>
      <w:jc w:val="center"/>
      <w:rPr>
        <w:rFonts w:ascii="Arial Narrow" w:eastAsia="Arial Narrow" w:hAnsi="Arial Narrow" w:cs="Arial Narrow"/>
        <w:i/>
        <w:sz w:val="16"/>
        <w:szCs w:val="16"/>
      </w:rPr>
    </w:pPr>
    <w:bookmarkStart w:id="0" w:name="_30j0zll" w:colFirst="0" w:colLast="0"/>
    <w:bookmarkEnd w:id="0"/>
    <w:r>
      <w:t xml:space="preserve">   </w:t>
    </w:r>
  </w:p>
  <w:tbl>
    <w:tblPr>
      <w:tblStyle w:val="a"/>
      <w:tblW w:w="9678"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3823"/>
      <w:gridCol w:w="5855"/>
    </w:tblGrid>
    <w:tr w:rsidR="00AE1473" w14:paraId="11870864" w14:textId="77777777">
      <w:tc>
        <w:tcPr>
          <w:tcW w:w="3823" w:type="dxa"/>
        </w:tcPr>
        <w:p w14:paraId="1B78E83B" w14:textId="77777777" w:rsidR="00AE1473" w:rsidRDefault="00C15CC1">
          <w:pPr>
            <w:ind w:left="-247" w:right="-374"/>
            <w:jc w:val="both"/>
            <w:rPr>
              <w:rFonts w:ascii="Arial Narrow" w:eastAsia="Arial Narrow" w:hAnsi="Arial Narrow" w:cs="Arial Narrow"/>
              <w:b/>
            </w:rPr>
          </w:pPr>
          <w:r>
            <w:rPr>
              <w:rFonts w:ascii="Arial Narrow" w:eastAsia="Arial Narrow" w:hAnsi="Arial Narrow" w:cs="Arial Narrow"/>
              <w:b/>
            </w:rPr>
            <w:t xml:space="preserve">     </w:t>
          </w:r>
        </w:p>
      </w:tc>
      <w:tc>
        <w:tcPr>
          <w:tcW w:w="5855" w:type="dxa"/>
          <w:vAlign w:val="center"/>
        </w:tcPr>
        <w:p w14:paraId="0871D1B7" w14:textId="77777777" w:rsidR="00AE1473" w:rsidRDefault="00C15CC1">
          <w:pPr>
            <w:ind w:right="-374"/>
            <w:rPr>
              <w:rFonts w:ascii="Arial Narrow" w:eastAsia="Arial Narrow" w:hAnsi="Arial Narrow" w:cs="Arial Narrow"/>
              <w:b/>
            </w:rPr>
          </w:pPr>
          <w:r>
            <w:rPr>
              <w:rFonts w:ascii="Arial Narrow" w:eastAsia="Arial Narrow" w:hAnsi="Arial Narrow" w:cs="Arial Narrow"/>
              <w:b/>
            </w:rPr>
            <w:t xml:space="preserve">          RESOLUCIÓN No.                                DE 20XX</w:t>
          </w:r>
        </w:p>
      </w:tc>
    </w:tr>
  </w:tbl>
  <w:p w14:paraId="04598C92" w14:textId="77777777" w:rsidR="00AE1473" w:rsidRDefault="00AE1473">
    <w:pPr>
      <w:spacing w:after="0" w:line="240" w:lineRule="auto"/>
      <w:ind w:left="708" w:right="-374"/>
      <w:rPr>
        <w:rFonts w:ascii="Arial Narrow" w:eastAsia="Arial Narrow" w:hAnsi="Arial Narrow" w:cs="Arial Narrow"/>
        <w:i/>
      </w:rPr>
    </w:pPr>
  </w:p>
  <w:p w14:paraId="7A725EE7" w14:textId="77777777" w:rsidR="00AE1473" w:rsidRDefault="00C15CC1">
    <w:pPr>
      <w:spacing w:after="0" w:line="240" w:lineRule="auto"/>
      <w:ind w:left="708" w:right="-374"/>
      <w:jc w:val="center"/>
      <w:rPr>
        <w:rFonts w:ascii="Arial Narrow" w:eastAsia="Arial Narrow" w:hAnsi="Arial Narrow" w:cs="Arial Narrow"/>
        <w:i/>
      </w:rPr>
    </w:pPr>
    <w:r>
      <w:rPr>
        <w:rFonts w:ascii="Arial Narrow" w:eastAsia="Arial Narrow" w:hAnsi="Arial Narrow" w:cs="Arial Narrow"/>
        <w:i/>
      </w:rPr>
      <w:t>“Por la cual se XXXXXXXXXXXXXXXXX  del Ministerio de Ciencia, Tecnología e Innovación”</w:t>
    </w:r>
  </w:p>
  <w:p w14:paraId="10AFC805" w14:textId="77777777" w:rsidR="00AE1473" w:rsidRDefault="00C15CC1">
    <w:pPr>
      <w:jc w:val="center"/>
    </w:pPr>
    <w:bookmarkStart w:id="1" w:name="_m0iyqsxn816j" w:colFirst="0" w:colLast="0"/>
    <w:bookmarkEnd w:id="1"/>
    <w:r>
      <w:t xml:space="preserve"> </w:t>
    </w:r>
  </w:p>
  <w:p w14:paraId="42992449" w14:textId="77777777" w:rsidR="00AE1473" w:rsidRDefault="00AE1473">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0123CBE"/>
    <w:multiLevelType w:val="hybridMultilevel"/>
    <w:tmpl w:val="C486EB22"/>
    <w:lvl w:ilvl="0" w:tplc="F77E4AAA">
      <w:numFmt w:val="bullet"/>
      <w:lvlText w:val="-"/>
      <w:lvlJc w:val="left"/>
      <w:pPr>
        <w:ind w:left="720" w:hanging="360"/>
      </w:pPr>
      <w:rPr>
        <w:rFonts w:ascii="Verdana" w:eastAsia="Verdana" w:hAnsi="Verdana" w:cs="Verdana"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6882156C"/>
    <w:multiLevelType w:val="hybridMultilevel"/>
    <w:tmpl w:val="804C6D7C"/>
    <w:lvl w:ilvl="0" w:tplc="C0540CEE">
      <w:numFmt w:val="bullet"/>
      <w:lvlText w:val="-"/>
      <w:lvlJc w:val="left"/>
      <w:pPr>
        <w:ind w:left="720" w:hanging="360"/>
      </w:pPr>
      <w:rPr>
        <w:rFonts w:ascii="Verdana" w:eastAsia="Verdana" w:hAnsi="Verdana" w:cs="Verdana" w:hint="default"/>
        <w:color w:val="000000" w:themeColor="text1"/>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009597209">
    <w:abstractNumId w:val="1"/>
  </w:num>
  <w:num w:numId="2" w16cid:durableId="12362855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1473"/>
    <w:rsid w:val="00004085"/>
    <w:rsid w:val="000071F6"/>
    <w:rsid w:val="000256A2"/>
    <w:rsid w:val="000323E8"/>
    <w:rsid w:val="00033922"/>
    <w:rsid w:val="000570B4"/>
    <w:rsid w:val="0006382D"/>
    <w:rsid w:val="000A7B4E"/>
    <w:rsid w:val="000B51F9"/>
    <w:rsid w:val="000D66FA"/>
    <w:rsid w:val="000E2DB2"/>
    <w:rsid w:val="000F0775"/>
    <w:rsid w:val="0010799A"/>
    <w:rsid w:val="001245B9"/>
    <w:rsid w:val="00131F22"/>
    <w:rsid w:val="00134144"/>
    <w:rsid w:val="00157D4C"/>
    <w:rsid w:val="00174A2E"/>
    <w:rsid w:val="001763A0"/>
    <w:rsid w:val="001A1316"/>
    <w:rsid w:val="001B448B"/>
    <w:rsid w:val="001C0F81"/>
    <w:rsid w:val="001C3D46"/>
    <w:rsid w:val="001E1B4A"/>
    <w:rsid w:val="00216B0C"/>
    <w:rsid w:val="002252C9"/>
    <w:rsid w:val="00237477"/>
    <w:rsid w:val="00250DA1"/>
    <w:rsid w:val="0026391D"/>
    <w:rsid w:val="00274337"/>
    <w:rsid w:val="00282A74"/>
    <w:rsid w:val="002B08EF"/>
    <w:rsid w:val="002B771B"/>
    <w:rsid w:val="002C5090"/>
    <w:rsid w:val="002D626D"/>
    <w:rsid w:val="002F41EE"/>
    <w:rsid w:val="00300889"/>
    <w:rsid w:val="00301A8F"/>
    <w:rsid w:val="003031FD"/>
    <w:rsid w:val="003058AE"/>
    <w:rsid w:val="003227CB"/>
    <w:rsid w:val="003550ED"/>
    <w:rsid w:val="00374E75"/>
    <w:rsid w:val="0037654B"/>
    <w:rsid w:val="00390A13"/>
    <w:rsid w:val="00395F00"/>
    <w:rsid w:val="003B0047"/>
    <w:rsid w:val="003C4030"/>
    <w:rsid w:val="003D3934"/>
    <w:rsid w:val="003F052A"/>
    <w:rsid w:val="00400D04"/>
    <w:rsid w:val="0041789C"/>
    <w:rsid w:val="004210DE"/>
    <w:rsid w:val="0042376F"/>
    <w:rsid w:val="004449E0"/>
    <w:rsid w:val="004737EE"/>
    <w:rsid w:val="00493293"/>
    <w:rsid w:val="0049373F"/>
    <w:rsid w:val="00495DF0"/>
    <w:rsid w:val="00496BA4"/>
    <w:rsid w:val="004A2674"/>
    <w:rsid w:val="004D4E45"/>
    <w:rsid w:val="004D77C1"/>
    <w:rsid w:val="004F54CF"/>
    <w:rsid w:val="00503825"/>
    <w:rsid w:val="005121B2"/>
    <w:rsid w:val="00514D20"/>
    <w:rsid w:val="00521437"/>
    <w:rsid w:val="00523B27"/>
    <w:rsid w:val="0056382E"/>
    <w:rsid w:val="0057105D"/>
    <w:rsid w:val="00590DCC"/>
    <w:rsid w:val="005A2659"/>
    <w:rsid w:val="005A67DF"/>
    <w:rsid w:val="005B54C9"/>
    <w:rsid w:val="005C3994"/>
    <w:rsid w:val="005D64F2"/>
    <w:rsid w:val="005D7C8F"/>
    <w:rsid w:val="0060659F"/>
    <w:rsid w:val="00615F66"/>
    <w:rsid w:val="00623106"/>
    <w:rsid w:val="00625B7C"/>
    <w:rsid w:val="006415AD"/>
    <w:rsid w:val="00644D2C"/>
    <w:rsid w:val="0066162A"/>
    <w:rsid w:val="0067396D"/>
    <w:rsid w:val="00686FEC"/>
    <w:rsid w:val="006912C6"/>
    <w:rsid w:val="006921BF"/>
    <w:rsid w:val="006A1586"/>
    <w:rsid w:val="006C172E"/>
    <w:rsid w:val="006D0788"/>
    <w:rsid w:val="006E0C67"/>
    <w:rsid w:val="006F645D"/>
    <w:rsid w:val="00701C46"/>
    <w:rsid w:val="00706073"/>
    <w:rsid w:val="0071153B"/>
    <w:rsid w:val="007262EA"/>
    <w:rsid w:val="00744101"/>
    <w:rsid w:val="0074758E"/>
    <w:rsid w:val="00781B73"/>
    <w:rsid w:val="00797D3A"/>
    <w:rsid w:val="007A65AA"/>
    <w:rsid w:val="007B18CB"/>
    <w:rsid w:val="007C46F9"/>
    <w:rsid w:val="00801407"/>
    <w:rsid w:val="008103E5"/>
    <w:rsid w:val="008119E7"/>
    <w:rsid w:val="00812C5E"/>
    <w:rsid w:val="00825EA1"/>
    <w:rsid w:val="00841C05"/>
    <w:rsid w:val="00856FD3"/>
    <w:rsid w:val="00860A59"/>
    <w:rsid w:val="00860AD6"/>
    <w:rsid w:val="00866B34"/>
    <w:rsid w:val="00895F9C"/>
    <w:rsid w:val="008A04BF"/>
    <w:rsid w:val="008A09E4"/>
    <w:rsid w:val="008A2E4B"/>
    <w:rsid w:val="008A3337"/>
    <w:rsid w:val="008C7386"/>
    <w:rsid w:val="008D19ED"/>
    <w:rsid w:val="008E034B"/>
    <w:rsid w:val="008E56E9"/>
    <w:rsid w:val="008F1AC9"/>
    <w:rsid w:val="009153CB"/>
    <w:rsid w:val="00930F59"/>
    <w:rsid w:val="00954CFC"/>
    <w:rsid w:val="0096425E"/>
    <w:rsid w:val="0096552A"/>
    <w:rsid w:val="00974CC1"/>
    <w:rsid w:val="00990EBE"/>
    <w:rsid w:val="0099524D"/>
    <w:rsid w:val="009D1C5D"/>
    <w:rsid w:val="009E52DC"/>
    <w:rsid w:val="009F721F"/>
    <w:rsid w:val="00A00A9B"/>
    <w:rsid w:val="00A1138C"/>
    <w:rsid w:val="00A33CD3"/>
    <w:rsid w:val="00A62DF9"/>
    <w:rsid w:val="00A6424F"/>
    <w:rsid w:val="00AA0704"/>
    <w:rsid w:val="00AA1783"/>
    <w:rsid w:val="00AB1007"/>
    <w:rsid w:val="00AC43ED"/>
    <w:rsid w:val="00AD13B5"/>
    <w:rsid w:val="00AD2AF0"/>
    <w:rsid w:val="00AD3E6C"/>
    <w:rsid w:val="00AE1473"/>
    <w:rsid w:val="00B1411E"/>
    <w:rsid w:val="00B25E2E"/>
    <w:rsid w:val="00B509AA"/>
    <w:rsid w:val="00B55055"/>
    <w:rsid w:val="00B66289"/>
    <w:rsid w:val="00B840E5"/>
    <w:rsid w:val="00B91A2F"/>
    <w:rsid w:val="00BC1E4E"/>
    <w:rsid w:val="00BC3145"/>
    <w:rsid w:val="00BC4400"/>
    <w:rsid w:val="00BD2644"/>
    <w:rsid w:val="00BD7520"/>
    <w:rsid w:val="00BE4A0D"/>
    <w:rsid w:val="00BE6A74"/>
    <w:rsid w:val="00BF2BEC"/>
    <w:rsid w:val="00C15CC1"/>
    <w:rsid w:val="00C16700"/>
    <w:rsid w:val="00C32AB3"/>
    <w:rsid w:val="00C40ECF"/>
    <w:rsid w:val="00C6271F"/>
    <w:rsid w:val="00C736F3"/>
    <w:rsid w:val="00C82840"/>
    <w:rsid w:val="00CA1E46"/>
    <w:rsid w:val="00CA712D"/>
    <w:rsid w:val="00CB7299"/>
    <w:rsid w:val="00CC20FA"/>
    <w:rsid w:val="00CC3795"/>
    <w:rsid w:val="00CD1C57"/>
    <w:rsid w:val="00CD2F2A"/>
    <w:rsid w:val="00CF2035"/>
    <w:rsid w:val="00D059D9"/>
    <w:rsid w:val="00D10D1A"/>
    <w:rsid w:val="00D53D16"/>
    <w:rsid w:val="00D5463E"/>
    <w:rsid w:val="00D61EC9"/>
    <w:rsid w:val="00D642D4"/>
    <w:rsid w:val="00D7075B"/>
    <w:rsid w:val="00D71EB2"/>
    <w:rsid w:val="00D77A49"/>
    <w:rsid w:val="00DA0E1D"/>
    <w:rsid w:val="00E43F04"/>
    <w:rsid w:val="00E506D7"/>
    <w:rsid w:val="00E568B9"/>
    <w:rsid w:val="00E76062"/>
    <w:rsid w:val="00E81076"/>
    <w:rsid w:val="00E8492E"/>
    <w:rsid w:val="00EA5117"/>
    <w:rsid w:val="00EA54F3"/>
    <w:rsid w:val="00EB5738"/>
    <w:rsid w:val="00EC5B1A"/>
    <w:rsid w:val="00EE1E30"/>
    <w:rsid w:val="00EF3F8C"/>
    <w:rsid w:val="00F00E96"/>
    <w:rsid w:val="00F114EE"/>
    <w:rsid w:val="00F16D31"/>
    <w:rsid w:val="00F312AD"/>
    <w:rsid w:val="00F3523D"/>
    <w:rsid w:val="00F43E15"/>
    <w:rsid w:val="00F44EBD"/>
    <w:rsid w:val="00F45B7A"/>
    <w:rsid w:val="00F72CDE"/>
    <w:rsid w:val="00F92941"/>
    <w:rsid w:val="00FB07B2"/>
    <w:rsid w:val="00FB79C7"/>
    <w:rsid w:val="00FC3D9D"/>
    <w:rsid w:val="00FD1C3C"/>
    <w:rsid w:val="00FD2A71"/>
    <w:rsid w:val="00FE081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0AA53F"/>
  <w15:docId w15:val="{59C8ED6E-6D0D-4528-900C-92C22B640A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widowControl w:val="0"/>
      <w:spacing w:after="0" w:line="240" w:lineRule="auto"/>
      <w:jc w:val="both"/>
      <w:outlineLvl w:val="1"/>
    </w:pPr>
    <w:rPr>
      <w:rFonts w:ascii="Arial" w:eastAsia="Arial" w:hAnsi="Arial" w:cs="Arial"/>
      <w:b/>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4"/>
      <w:szCs w:val="24"/>
    </w:rPr>
    <w:tblPr>
      <w:tblStyleRowBandSize w:val="1"/>
      <w:tblStyleColBandSize w:val="1"/>
      <w:tblCellMar>
        <w:left w:w="115" w:type="dxa"/>
        <w:right w:w="115" w:type="dxa"/>
      </w:tblCellMar>
    </w:tblPr>
    <w:tcPr>
      <w:shd w:val="clear" w:color="auto" w:fill="EDF2F8"/>
    </w:tcPr>
  </w:style>
  <w:style w:type="table" w:customStyle="1" w:styleId="a0">
    <w:basedOn w:val="TableNormal"/>
    <w:tblPr>
      <w:tblStyleRowBandSize w:val="1"/>
      <w:tblStyleColBandSize w:val="1"/>
      <w:tblCellMar>
        <w:top w:w="100" w:type="dxa"/>
        <w:left w:w="100" w:type="dxa"/>
        <w:bottom w:w="100" w:type="dxa"/>
        <w:right w:w="100" w:type="dxa"/>
      </w:tblCellMar>
    </w:tblPr>
  </w:style>
  <w:style w:type="character" w:styleId="Hipervnculo">
    <w:name w:val="Hyperlink"/>
    <w:basedOn w:val="Fuentedeprrafopredeter"/>
    <w:uiPriority w:val="99"/>
    <w:unhideWhenUsed/>
    <w:rsid w:val="009E52DC"/>
    <w:rPr>
      <w:color w:val="0000FF" w:themeColor="hyperlink"/>
      <w:u w:val="single"/>
    </w:rPr>
  </w:style>
  <w:style w:type="character" w:styleId="Mencinsinresolver">
    <w:name w:val="Unresolved Mention"/>
    <w:basedOn w:val="Fuentedeprrafopredeter"/>
    <w:uiPriority w:val="99"/>
    <w:semiHidden/>
    <w:unhideWhenUsed/>
    <w:rsid w:val="009E52DC"/>
    <w:rPr>
      <w:color w:val="605E5C"/>
      <w:shd w:val="clear" w:color="auto" w:fill="E1DFDD"/>
    </w:rPr>
  </w:style>
  <w:style w:type="paragraph" w:styleId="Textonotapie">
    <w:name w:val="footnote text"/>
    <w:basedOn w:val="Normal"/>
    <w:link w:val="TextonotapieCar"/>
    <w:uiPriority w:val="99"/>
    <w:semiHidden/>
    <w:unhideWhenUsed/>
    <w:rsid w:val="00FB07B2"/>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FB07B2"/>
    <w:rPr>
      <w:sz w:val="20"/>
      <w:szCs w:val="20"/>
    </w:rPr>
  </w:style>
  <w:style w:type="character" w:styleId="Refdenotaalpie">
    <w:name w:val="footnote reference"/>
    <w:basedOn w:val="Fuentedeprrafopredeter"/>
    <w:uiPriority w:val="99"/>
    <w:semiHidden/>
    <w:unhideWhenUsed/>
    <w:rsid w:val="00FB07B2"/>
    <w:rPr>
      <w:vertAlign w:val="superscript"/>
    </w:rPr>
  </w:style>
  <w:style w:type="paragraph" w:styleId="Sinespaciado">
    <w:name w:val="No Spacing"/>
    <w:uiPriority w:val="1"/>
    <w:qFormat/>
    <w:rsid w:val="0010799A"/>
    <w:pPr>
      <w:spacing w:after="0" w:line="240" w:lineRule="auto"/>
    </w:pPr>
  </w:style>
  <w:style w:type="character" w:styleId="Hipervnculovisitado">
    <w:name w:val="FollowedHyperlink"/>
    <w:basedOn w:val="Fuentedeprrafopredeter"/>
    <w:uiPriority w:val="99"/>
    <w:semiHidden/>
    <w:unhideWhenUsed/>
    <w:rsid w:val="0010799A"/>
    <w:rPr>
      <w:color w:val="800080" w:themeColor="followedHyperlink"/>
      <w:u w:val="single"/>
    </w:rPr>
  </w:style>
  <w:style w:type="paragraph" w:styleId="Prrafodelista">
    <w:name w:val="List Paragraph"/>
    <w:basedOn w:val="Normal"/>
    <w:uiPriority w:val="34"/>
    <w:qFormat/>
    <w:rsid w:val="00F45B7A"/>
    <w:pPr>
      <w:ind w:left="720"/>
      <w:contextualSpacing/>
    </w:pPr>
  </w:style>
  <w:style w:type="paragraph" w:styleId="Revisin">
    <w:name w:val="Revision"/>
    <w:hidden/>
    <w:uiPriority w:val="99"/>
    <w:semiHidden/>
    <w:rsid w:val="00990EBE"/>
    <w:pPr>
      <w:spacing w:after="0" w:line="240" w:lineRule="auto"/>
    </w:pPr>
  </w:style>
  <w:style w:type="character" w:styleId="Refdecomentario">
    <w:name w:val="annotation reference"/>
    <w:basedOn w:val="Fuentedeprrafopredeter"/>
    <w:uiPriority w:val="99"/>
    <w:semiHidden/>
    <w:unhideWhenUsed/>
    <w:rsid w:val="0074758E"/>
    <w:rPr>
      <w:sz w:val="16"/>
      <w:szCs w:val="16"/>
    </w:rPr>
  </w:style>
  <w:style w:type="paragraph" w:styleId="Textocomentario">
    <w:name w:val="annotation text"/>
    <w:basedOn w:val="Normal"/>
    <w:link w:val="TextocomentarioCar"/>
    <w:uiPriority w:val="99"/>
    <w:unhideWhenUsed/>
    <w:rsid w:val="0074758E"/>
    <w:pPr>
      <w:spacing w:line="240" w:lineRule="auto"/>
    </w:pPr>
    <w:rPr>
      <w:sz w:val="20"/>
      <w:szCs w:val="20"/>
    </w:rPr>
  </w:style>
  <w:style w:type="character" w:customStyle="1" w:styleId="TextocomentarioCar">
    <w:name w:val="Texto comentario Car"/>
    <w:basedOn w:val="Fuentedeprrafopredeter"/>
    <w:link w:val="Textocomentario"/>
    <w:uiPriority w:val="99"/>
    <w:rsid w:val="0074758E"/>
    <w:rPr>
      <w:sz w:val="20"/>
      <w:szCs w:val="20"/>
    </w:rPr>
  </w:style>
  <w:style w:type="paragraph" w:styleId="Asuntodelcomentario">
    <w:name w:val="annotation subject"/>
    <w:basedOn w:val="Textocomentario"/>
    <w:next w:val="Textocomentario"/>
    <w:link w:val="AsuntodelcomentarioCar"/>
    <w:uiPriority w:val="99"/>
    <w:semiHidden/>
    <w:unhideWhenUsed/>
    <w:rsid w:val="0074758E"/>
    <w:rPr>
      <w:b/>
      <w:bCs/>
    </w:rPr>
  </w:style>
  <w:style w:type="character" w:customStyle="1" w:styleId="AsuntodelcomentarioCar">
    <w:name w:val="Asunto del comentario Car"/>
    <w:basedOn w:val="TextocomentarioCar"/>
    <w:link w:val="Asuntodelcomentario"/>
    <w:uiPriority w:val="99"/>
    <w:semiHidden/>
    <w:rsid w:val="0074758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8753243">
      <w:bodyDiv w:val="1"/>
      <w:marLeft w:val="0"/>
      <w:marRight w:val="0"/>
      <w:marTop w:val="0"/>
      <w:marBottom w:val="0"/>
      <w:divBdr>
        <w:top w:val="none" w:sz="0" w:space="0" w:color="auto"/>
        <w:left w:val="none" w:sz="0" w:space="0" w:color="auto"/>
        <w:bottom w:val="none" w:sz="0" w:space="0" w:color="auto"/>
        <w:right w:val="none" w:sz="0" w:space="0" w:color="auto"/>
      </w:divBdr>
    </w:div>
    <w:div w:id="734856235">
      <w:bodyDiv w:val="1"/>
      <w:marLeft w:val="0"/>
      <w:marRight w:val="0"/>
      <w:marTop w:val="0"/>
      <w:marBottom w:val="0"/>
      <w:divBdr>
        <w:top w:val="none" w:sz="0" w:space="0" w:color="auto"/>
        <w:left w:val="none" w:sz="0" w:space="0" w:color="auto"/>
        <w:bottom w:val="none" w:sz="0" w:space="0" w:color="auto"/>
        <w:right w:val="none" w:sz="0" w:space="0" w:color="auto"/>
      </w:divBdr>
    </w:div>
    <w:div w:id="1271815704">
      <w:bodyDiv w:val="1"/>
      <w:marLeft w:val="0"/>
      <w:marRight w:val="0"/>
      <w:marTop w:val="0"/>
      <w:marBottom w:val="0"/>
      <w:divBdr>
        <w:top w:val="none" w:sz="0" w:space="0" w:color="auto"/>
        <w:left w:val="none" w:sz="0" w:space="0" w:color="auto"/>
        <w:bottom w:val="none" w:sz="0" w:space="0" w:color="auto"/>
        <w:right w:val="none" w:sz="0" w:space="0" w:color="auto"/>
      </w:divBdr>
    </w:div>
    <w:div w:id="1365600053">
      <w:bodyDiv w:val="1"/>
      <w:marLeft w:val="0"/>
      <w:marRight w:val="0"/>
      <w:marTop w:val="0"/>
      <w:marBottom w:val="0"/>
      <w:divBdr>
        <w:top w:val="none" w:sz="0" w:space="0" w:color="auto"/>
        <w:left w:val="none" w:sz="0" w:space="0" w:color="auto"/>
        <w:bottom w:val="none" w:sz="0" w:space="0" w:color="auto"/>
        <w:right w:val="none" w:sz="0" w:space="0" w:color="auto"/>
      </w:divBdr>
    </w:div>
    <w:div w:id="1396704359">
      <w:bodyDiv w:val="1"/>
      <w:marLeft w:val="0"/>
      <w:marRight w:val="0"/>
      <w:marTop w:val="0"/>
      <w:marBottom w:val="0"/>
      <w:divBdr>
        <w:top w:val="none" w:sz="0" w:space="0" w:color="auto"/>
        <w:left w:val="none" w:sz="0" w:space="0" w:color="auto"/>
        <w:bottom w:val="none" w:sz="0" w:space="0" w:color="auto"/>
        <w:right w:val="none" w:sz="0" w:space="0" w:color="auto"/>
      </w:divBdr>
    </w:div>
    <w:div w:id="14121997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4D637-3358-4962-A71D-42EE76B4F8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510</TotalTime>
  <Pages>7</Pages>
  <Words>2809</Words>
  <Characters>15455</Characters>
  <Application>Microsoft Office Word</Application>
  <DocSecurity>0</DocSecurity>
  <Lines>128</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María Catalina Alvarez Ramirez</dc:creator>
  <cp:lastModifiedBy>María Catalina Alvarez Ramirez</cp:lastModifiedBy>
  <cp:revision>40</cp:revision>
  <dcterms:created xsi:type="dcterms:W3CDTF">2024-12-23T23:29:00Z</dcterms:created>
  <dcterms:modified xsi:type="dcterms:W3CDTF">2024-12-31T16:36:00Z</dcterms:modified>
</cp:coreProperties>
</file>